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4" w:type="dxa"/>
        <w:tblLayout w:type="fixed"/>
        <w:tblLook w:val="0000" w:firstRow="0" w:lastRow="0" w:firstColumn="0" w:lastColumn="0" w:noHBand="0" w:noVBand="0"/>
      </w:tblPr>
      <w:tblGrid>
        <w:gridCol w:w="3303"/>
        <w:gridCol w:w="5911"/>
      </w:tblGrid>
      <w:tr w:rsidR="006B2F40" w14:paraId="49439D69" w14:textId="77777777">
        <w:tc>
          <w:tcPr>
            <w:tcW w:w="3303" w:type="dxa"/>
          </w:tcPr>
          <w:p w14:paraId="3AE39EEB" w14:textId="77777777" w:rsidR="006B2F40" w:rsidRDefault="007B723E">
            <w:pPr>
              <w:ind w:right="-144"/>
              <w:jc w:val="center"/>
              <w:rPr>
                <w:b/>
                <w:bCs/>
                <w:sz w:val="26"/>
                <w:szCs w:val="26"/>
              </w:rPr>
            </w:pPr>
            <w:r>
              <w:rPr>
                <w:b/>
                <w:bCs/>
                <w:sz w:val="26"/>
                <w:szCs w:val="26"/>
              </w:rPr>
              <w:t>BỘ TƯ PHÁP</w:t>
            </w:r>
          </w:p>
          <w:p w14:paraId="4954605B" w14:textId="77777777" w:rsidR="006B2F40" w:rsidRDefault="006B2F40">
            <w:pPr>
              <w:ind w:right="-144"/>
              <w:jc w:val="center"/>
              <w:rPr>
                <w:b/>
                <w:bCs/>
                <w:sz w:val="26"/>
                <w:szCs w:val="26"/>
                <w:vertAlign w:val="superscript"/>
              </w:rPr>
            </w:pPr>
            <w:r>
              <w:rPr>
                <w:b/>
                <w:bCs/>
                <w:sz w:val="26"/>
                <w:szCs w:val="26"/>
                <w:vertAlign w:val="superscript"/>
              </w:rPr>
              <w:t>________</w:t>
            </w:r>
          </w:p>
          <w:p w14:paraId="45016BBC" w14:textId="77777777" w:rsidR="006B2F40" w:rsidRDefault="006B2F40" w:rsidP="00867651">
            <w:pPr>
              <w:ind w:right="-144"/>
              <w:jc w:val="center"/>
              <w:rPr>
                <w:b/>
                <w:bCs/>
                <w:sz w:val="26"/>
                <w:szCs w:val="26"/>
                <w:vertAlign w:val="superscript"/>
              </w:rPr>
            </w:pPr>
            <w:r>
              <w:rPr>
                <w:sz w:val="26"/>
                <w:szCs w:val="26"/>
              </w:rPr>
              <w:t xml:space="preserve">Số: </w:t>
            </w:r>
            <w:r w:rsidR="009E4F1A">
              <w:rPr>
                <w:sz w:val="26"/>
                <w:szCs w:val="26"/>
              </w:rPr>
              <w:t xml:space="preserve">      </w:t>
            </w:r>
            <w:r w:rsidR="0076675A">
              <w:rPr>
                <w:sz w:val="26"/>
                <w:szCs w:val="26"/>
              </w:rPr>
              <w:t>/</w:t>
            </w:r>
            <w:r w:rsidR="0076128C">
              <w:rPr>
                <w:sz w:val="26"/>
                <w:szCs w:val="26"/>
                <w:lang w:val="vi-VN"/>
              </w:rPr>
              <w:t>BC-</w:t>
            </w:r>
            <w:r w:rsidR="007B723E">
              <w:rPr>
                <w:sz w:val="26"/>
                <w:szCs w:val="26"/>
              </w:rPr>
              <w:t>BTP</w:t>
            </w:r>
          </w:p>
        </w:tc>
        <w:tc>
          <w:tcPr>
            <w:tcW w:w="5911" w:type="dxa"/>
          </w:tcPr>
          <w:p w14:paraId="628EDB9E" w14:textId="77777777" w:rsidR="006B2F40" w:rsidRDefault="006B2F40">
            <w:pPr>
              <w:pStyle w:val="Heading9"/>
              <w:spacing w:before="0" w:after="0"/>
              <w:jc w:val="center"/>
              <w:rPr>
                <w:rFonts w:ascii="Times New Roman" w:hAnsi="Times New Roman" w:cs="Times New Roman"/>
                <w:b/>
                <w:bCs/>
                <w:sz w:val="26"/>
                <w:szCs w:val="26"/>
              </w:rPr>
            </w:pPr>
            <w:r>
              <w:rPr>
                <w:rFonts w:ascii="Times New Roman" w:hAnsi="Times New Roman" w:cs="Times New Roman"/>
                <w:b/>
                <w:bCs/>
                <w:sz w:val="26"/>
                <w:szCs w:val="26"/>
              </w:rPr>
              <w:t xml:space="preserve">CỘNG HOÀ XÃ HỘI CHỦ NGHĨA VIỆT </w:t>
            </w:r>
            <w:smartTag w:uri="urn:schemas-microsoft-com:office:smarttags" w:element="place">
              <w:smartTag w:uri="urn:schemas-microsoft-com:office:smarttags" w:element="country-region">
                <w:r>
                  <w:rPr>
                    <w:rFonts w:ascii="Times New Roman" w:hAnsi="Times New Roman" w:cs="Times New Roman"/>
                    <w:b/>
                    <w:bCs/>
                    <w:sz w:val="26"/>
                    <w:szCs w:val="26"/>
                  </w:rPr>
                  <w:t>NAM</w:t>
                </w:r>
              </w:smartTag>
            </w:smartTag>
          </w:p>
          <w:p w14:paraId="1D8C31D0" w14:textId="77777777" w:rsidR="006B2F40" w:rsidRDefault="006B2F40">
            <w:pPr>
              <w:ind w:right="-144"/>
              <w:jc w:val="center"/>
              <w:rPr>
                <w:b/>
                <w:bCs/>
              </w:rPr>
            </w:pPr>
            <w:r>
              <w:rPr>
                <w:b/>
                <w:bCs/>
              </w:rPr>
              <w:t>Độc lập - Tự do - Hạnh phúc</w:t>
            </w:r>
          </w:p>
          <w:p w14:paraId="265FC43E" w14:textId="77777777" w:rsidR="006B2F40" w:rsidRDefault="006B2F40">
            <w:pPr>
              <w:ind w:right="-144"/>
              <w:jc w:val="center"/>
              <w:rPr>
                <w:b/>
                <w:bCs/>
                <w:sz w:val="20"/>
                <w:szCs w:val="20"/>
                <w:vertAlign w:val="superscript"/>
              </w:rPr>
            </w:pPr>
            <w:r>
              <w:rPr>
                <w:b/>
                <w:bCs/>
                <w:sz w:val="20"/>
                <w:szCs w:val="20"/>
                <w:vertAlign w:val="superscript"/>
              </w:rPr>
              <w:t>___________________________________________________</w:t>
            </w:r>
          </w:p>
          <w:p w14:paraId="42F84388" w14:textId="0F773752" w:rsidR="006B2F40" w:rsidRDefault="00AC267A" w:rsidP="0040766E">
            <w:pPr>
              <w:ind w:right="-144"/>
              <w:jc w:val="center"/>
              <w:rPr>
                <w:i/>
              </w:rPr>
            </w:pPr>
            <w:r>
              <w:rPr>
                <w:i/>
                <w:iCs/>
                <w:sz w:val="26"/>
                <w:szCs w:val="26"/>
              </w:rPr>
              <w:t>Hà Nội,</w:t>
            </w:r>
            <w:r w:rsidR="008E58C3">
              <w:rPr>
                <w:i/>
                <w:iCs/>
                <w:sz w:val="26"/>
                <w:szCs w:val="26"/>
              </w:rPr>
              <w:t xml:space="preserve"> </w:t>
            </w:r>
            <w:r>
              <w:rPr>
                <w:i/>
                <w:iCs/>
                <w:sz w:val="26"/>
                <w:szCs w:val="26"/>
              </w:rPr>
              <w:t>ngày</w:t>
            </w:r>
            <w:r w:rsidR="0040766E">
              <w:rPr>
                <w:i/>
                <w:iCs/>
                <w:sz w:val="26"/>
                <w:szCs w:val="26"/>
              </w:rPr>
              <w:t xml:space="preserve"> </w:t>
            </w:r>
            <w:r w:rsidR="009E4F1A">
              <w:rPr>
                <w:i/>
                <w:iCs/>
                <w:sz w:val="26"/>
                <w:szCs w:val="26"/>
              </w:rPr>
              <w:t xml:space="preserve">       </w:t>
            </w:r>
            <w:r>
              <w:rPr>
                <w:i/>
                <w:iCs/>
                <w:sz w:val="26"/>
                <w:szCs w:val="26"/>
              </w:rPr>
              <w:t>tháng</w:t>
            </w:r>
            <w:r w:rsidR="0040766E">
              <w:rPr>
                <w:i/>
                <w:iCs/>
                <w:sz w:val="26"/>
                <w:szCs w:val="26"/>
              </w:rPr>
              <w:t xml:space="preserve"> </w:t>
            </w:r>
            <w:r w:rsidR="009E4F1A">
              <w:rPr>
                <w:i/>
                <w:iCs/>
                <w:sz w:val="26"/>
                <w:szCs w:val="26"/>
              </w:rPr>
              <w:t xml:space="preserve">      </w:t>
            </w:r>
            <w:r>
              <w:rPr>
                <w:i/>
                <w:iCs/>
                <w:sz w:val="26"/>
                <w:szCs w:val="26"/>
              </w:rPr>
              <w:t>năm</w:t>
            </w:r>
            <w:r w:rsidR="00DB0CA5">
              <w:rPr>
                <w:i/>
                <w:iCs/>
                <w:sz w:val="26"/>
                <w:szCs w:val="26"/>
              </w:rPr>
              <w:t xml:space="preserve"> 2026</w:t>
            </w:r>
            <w:r>
              <w:rPr>
                <w:i/>
                <w:iCs/>
                <w:sz w:val="26"/>
                <w:szCs w:val="26"/>
              </w:rPr>
              <w:t xml:space="preserve"> </w:t>
            </w:r>
          </w:p>
        </w:tc>
      </w:tr>
    </w:tbl>
    <w:p w14:paraId="41FA994A" w14:textId="77777777" w:rsidR="000E2C77" w:rsidRPr="00963C46" w:rsidRDefault="000E2C77" w:rsidP="000E2C77">
      <w:pPr>
        <w:pStyle w:val="Subtitle"/>
        <w:spacing w:line="288" w:lineRule="auto"/>
        <w:rPr>
          <w:rFonts w:ascii="Times New Roman" w:hAnsi="Times New Roman" w:cs="Times New Roman"/>
          <w:color w:val="000000"/>
        </w:rPr>
      </w:pPr>
    </w:p>
    <w:p w14:paraId="45D7850C" w14:textId="77777777" w:rsidR="00DA131B" w:rsidRPr="006714C2" w:rsidRDefault="00DA131B" w:rsidP="00DA131B">
      <w:pPr>
        <w:jc w:val="center"/>
        <w:rPr>
          <w:b/>
        </w:rPr>
      </w:pPr>
      <w:r w:rsidRPr="006714C2">
        <w:rPr>
          <w:b/>
        </w:rPr>
        <w:t>BÁO CÁO</w:t>
      </w:r>
    </w:p>
    <w:p w14:paraId="7817FD0A" w14:textId="77777777" w:rsidR="00DA131B" w:rsidRPr="005D616E" w:rsidRDefault="00DA131B" w:rsidP="00DA131B">
      <w:pPr>
        <w:jc w:val="center"/>
        <w:rPr>
          <w:b/>
          <w:color w:val="000000" w:themeColor="text1"/>
        </w:rPr>
      </w:pPr>
      <w:r w:rsidRPr="005D616E">
        <w:rPr>
          <w:b/>
          <w:color w:val="000000" w:themeColor="text1"/>
        </w:rPr>
        <w:t xml:space="preserve">Tổng kết và đánh giá việc thực hiện Nghị định số </w:t>
      </w:r>
      <w:r w:rsidR="009E4F1A" w:rsidRPr="005D616E">
        <w:rPr>
          <w:b/>
          <w:color w:val="000000" w:themeColor="text1"/>
        </w:rPr>
        <w:t>63/2010</w:t>
      </w:r>
      <w:r w:rsidRPr="005D616E">
        <w:rPr>
          <w:b/>
          <w:color w:val="000000" w:themeColor="text1"/>
        </w:rPr>
        <w:t>/NĐ-CP</w:t>
      </w:r>
    </w:p>
    <w:p w14:paraId="4B53671D" w14:textId="08095FC9" w:rsidR="00DA131B" w:rsidRDefault="00DA131B" w:rsidP="009208F8">
      <w:pPr>
        <w:jc w:val="center"/>
        <w:rPr>
          <w:b/>
          <w:vertAlign w:val="superscript"/>
        </w:rPr>
      </w:pPr>
      <w:r w:rsidRPr="005D616E">
        <w:rPr>
          <w:b/>
          <w:color w:val="000000" w:themeColor="text1"/>
        </w:rPr>
        <w:t xml:space="preserve">ngày </w:t>
      </w:r>
      <w:r w:rsidR="005D616E" w:rsidRPr="005D616E">
        <w:rPr>
          <w:b/>
          <w:color w:val="000000" w:themeColor="text1"/>
        </w:rPr>
        <w:t>08 tháng 6</w:t>
      </w:r>
      <w:r w:rsidRPr="005D616E">
        <w:rPr>
          <w:b/>
          <w:color w:val="000000" w:themeColor="text1"/>
        </w:rPr>
        <w:t xml:space="preserve"> năm </w:t>
      </w:r>
      <w:r w:rsidR="005D616E" w:rsidRPr="005D616E">
        <w:rPr>
          <w:b/>
          <w:color w:val="000000" w:themeColor="text1"/>
        </w:rPr>
        <w:t>20</w:t>
      </w:r>
      <w:r w:rsidR="005D616E">
        <w:rPr>
          <w:b/>
          <w:color w:val="000000" w:themeColor="text1"/>
        </w:rPr>
        <w:t xml:space="preserve">10 </w:t>
      </w:r>
      <w:r w:rsidRPr="005D616E">
        <w:rPr>
          <w:b/>
          <w:color w:val="000000" w:themeColor="text1"/>
          <w:lang w:val="vi-VN"/>
        </w:rPr>
        <w:t xml:space="preserve">của Chính phủ </w:t>
      </w:r>
      <w:r w:rsidR="009208F8" w:rsidRPr="005D616E">
        <w:rPr>
          <w:b/>
          <w:color w:val="000000" w:themeColor="text1"/>
        </w:rPr>
        <w:t>về kiểm soát</w:t>
      </w:r>
      <w:r w:rsidRPr="005D616E">
        <w:rPr>
          <w:b/>
          <w:color w:val="000000" w:themeColor="text1"/>
        </w:rPr>
        <w:t xml:space="preserve"> thủ tục hành chính</w:t>
      </w:r>
      <w:r w:rsidRPr="005D616E">
        <w:rPr>
          <w:b/>
          <w:color w:val="000000" w:themeColor="text1"/>
          <w:vertAlign w:val="superscript"/>
          <w:lang w:val="vi-VN"/>
        </w:rPr>
        <w:t xml:space="preserve">                                                                                </w:t>
      </w:r>
      <w:r>
        <w:rPr>
          <w:b/>
          <w:sz w:val="24"/>
          <w:vertAlign w:val="superscript"/>
        </w:rPr>
        <w:t>____________________</w:t>
      </w:r>
    </w:p>
    <w:p w14:paraId="59A78E63" w14:textId="77777777" w:rsidR="00EE39C2" w:rsidRDefault="00EE39C2" w:rsidP="00EE39C2">
      <w:pPr>
        <w:pStyle w:val="NormalWeb"/>
        <w:shd w:val="clear" w:color="auto" w:fill="FFFFFF"/>
        <w:spacing w:before="0" w:beforeAutospacing="0" w:after="0" w:afterAutospacing="0"/>
        <w:ind w:firstLine="567"/>
        <w:jc w:val="both"/>
        <w:rPr>
          <w:color w:val="000000"/>
          <w:sz w:val="28"/>
          <w:szCs w:val="28"/>
        </w:rPr>
      </w:pPr>
    </w:p>
    <w:p w14:paraId="4AE59FDB" w14:textId="501BE86E" w:rsidR="0004626D" w:rsidRDefault="0004626D" w:rsidP="00152DDA">
      <w:pPr>
        <w:pStyle w:val="NormalWeb"/>
        <w:widowControl w:val="0"/>
        <w:shd w:val="clear" w:color="auto" w:fill="FFFFFF"/>
        <w:spacing w:before="0" w:beforeAutospacing="0" w:after="0" w:afterAutospacing="0" w:line="360" w:lineRule="exact"/>
        <w:ind w:firstLine="567"/>
        <w:jc w:val="both"/>
        <w:rPr>
          <w:sz w:val="28"/>
          <w:szCs w:val="28"/>
        </w:rPr>
      </w:pPr>
      <w:r>
        <w:rPr>
          <w:sz w:val="28"/>
          <w:szCs w:val="28"/>
        </w:rPr>
        <w:tab/>
      </w:r>
      <w:r>
        <w:rPr>
          <w:sz w:val="28"/>
          <w:szCs w:val="28"/>
        </w:rPr>
        <w:tab/>
      </w:r>
      <w:r>
        <w:rPr>
          <w:sz w:val="28"/>
          <w:szCs w:val="28"/>
        </w:rPr>
        <w:tab/>
        <w:t xml:space="preserve">           Kính gửi: Thủ tướng Chính phủ.</w:t>
      </w:r>
    </w:p>
    <w:p w14:paraId="1BA04E6A" w14:textId="77777777" w:rsidR="0004626D" w:rsidRDefault="0004626D" w:rsidP="00152DDA">
      <w:pPr>
        <w:pStyle w:val="NormalWeb"/>
        <w:widowControl w:val="0"/>
        <w:shd w:val="clear" w:color="auto" w:fill="FFFFFF"/>
        <w:spacing w:before="0" w:beforeAutospacing="0" w:after="0" w:afterAutospacing="0" w:line="360" w:lineRule="exact"/>
        <w:ind w:firstLine="567"/>
        <w:jc w:val="both"/>
        <w:rPr>
          <w:sz w:val="28"/>
          <w:szCs w:val="28"/>
        </w:rPr>
      </w:pPr>
    </w:p>
    <w:p w14:paraId="0C0E576A" w14:textId="24A171BF" w:rsidR="00DA131B" w:rsidRPr="00F4243B" w:rsidRDefault="00EE39C2" w:rsidP="00F4243B">
      <w:pPr>
        <w:pStyle w:val="NormalWeb"/>
        <w:widowControl w:val="0"/>
        <w:shd w:val="clear" w:color="auto" w:fill="FFFFFF"/>
        <w:spacing w:before="120" w:beforeAutospacing="0" w:after="0" w:afterAutospacing="0" w:line="288" w:lineRule="auto"/>
        <w:ind w:firstLine="567"/>
        <w:jc w:val="both"/>
        <w:rPr>
          <w:color w:val="000000"/>
          <w:spacing w:val="-2"/>
          <w:sz w:val="28"/>
          <w:szCs w:val="28"/>
          <w:lang w:val="pt-BR"/>
        </w:rPr>
      </w:pPr>
      <w:r w:rsidRPr="00F4243B">
        <w:rPr>
          <w:sz w:val="28"/>
          <w:szCs w:val="28"/>
        </w:rPr>
        <w:t>Thực hiện ý kiến chỉ đạo của Phó Thủ tướng Chính phủ Phạm Thị Thanh Tr</w:t>
      </w:r>
      <w:r w:rsidR="008E58C3" w:rsidRPr="00F4243B">
        <w:rPr>
          <w:sz w:val="28"/>
          <w:szCs w:val="28"/>
        </w:rPr>
        <w:t>à (</w:t>
      </w:r>
      <w:r w:rsidR="008E58C3" w:rsidRPr="00F4243B">
        <w:rPr>
          <w:bCs/>
          <w:color w:val="000000" w:themeColor="text1"/>
          <w:sz w:val="28"/>
          <w:szCs w:val="28"/>
          <w:lang w:eastAsia="zh-CN"/>
        </w:rPr>
        <w:t xml:space="preserve">Công văn số </w:t>
      </w:r>
      <w:r w:rsidR="008E58C3" w:rsidRPr="00F4243B">
        <w:rPr>
          <w:color w:val="000000" w:themeColor="text1"/>
          <w:sz w:val="28"/>
          <w:szCs w:val="28"/>
        </w:rPr>
        <w:t>12778/VPCP-KSTT ngày 25/12/2025 của Văn phòng Chính phủ)</w:t>
      </w:r>
      <w:r w:rsidRPr="00F4243B">
        <w:rPr>
          <w:sz w:val="28"/>
          <w:szCs w:val="28"/>
        </w:rPr>
        <w:t xml:space="preserve"> và để có cơ sở đánh giá toàn diện việc thi hành, ph</w:t>
      </w:r>
      <w:bookmarkStart w:id="0" w:name="_GoBack"/>
      <w:bookmarkEnd w:id="0"/>
      <w:r w:rsidRPr="00F4243B">
        <w:rPr>
          <w:sz w:val="28"/>
          <w:szCs w:val="28"/>
        </w:rPr>
        <w:t>ục vụ việc nghiên cứu, xây dựng Nghị định thay thế Nghị định số 63/2010/NĐ-CP</w:t>
      </w:r>
      <w:r w:rsidR="00DA131B" w:rsidRPr="00F4243B">
        <w:rPr>
          <w:color w:val="000000"/>
          <w:spacing w:val="-2"/>
          <w:sz w:val="28"/>
          <w:szCs w:val="28"/>
          <w:lang w:val="pt-BR"/>
        </w:rPr>
        <w:t xml:space="preserve">, </w:t>
      </w:r>
      <w:r w:rsidRPr="00F4243B">
        <w:rPr>
          <w:color w:val="000000"/>
          <w:spacing w:val="-2"/>
          <w:sz w:val="28"/>
          <w:szCs w:val="28"/>
          <w:lang w:val="pt-BR"/>
        </w:rPr>
        <w:t>Bộ Tư pháp</w:t>
      </w:r>
      <w:r w:rsidR="00DA131B" w:rsidRPr="00F4243B">
        <w:rPr>
          <w:color w:val="000000"/>
          <w:spacing w:val="-2"/>
          <w:sz w:val="28"/>
          <w:szCs w:val="28"/>
          <w:lang w:val="pt-BR"/>
        </w:rPr>
        <w:t xml:space="preserve"> </w:t>
      </w:r>
      <w:r w:rsidR="00DA131B" w:rsidRPr="00F4243B">
        <w:rPr>
          <w:color w:val="000000"/>
          <w:spacing w:val="-2"/>
          <w:sz w:val="28"/>
          <w:szCs w:val="28"/>
          <w:lang w:val="vi-VN"/>
        </w:rPr>
        <w:t xml:space="preserve">xin </w:t>
      </w:r>
      <w:r w:rsidR="00DA131B" w:rsidRPr="00F4243B">
        <w:rPr>
          <w:color w:val="000000"/>
          <w:spacing w:val="-2"/>
          <w:sz w:val="28"/>
          <w:szCs w:val="28"/>
          <w:lang w:val="pt-BR"/>
        </w:rPr>
        <w:t xml:space="preserve">báo cáo kết quả và đánh giá </w:t>
      </w:r>
      <w:r w:rsidR="00DA131B" w:rsidRPr="00F4243B">
        <w:rPr>
          <w:color w:val="000000"/>
          <w:spacing w:val="-2"/>
          <w:sz w:val="28"/>
          <w:szCs w:val="28"/>
          <w:lang w:val="vi-VN"/>
        </w:rPr>
        <w:t>v</w:t>
      </w:r>
      <w:r w:rsidR="00DA131B" w:rsidRPr="00F4243B">
        <w:rPr>
          <w:color w:val="000000"/>
          <w:spacing w:val="-2"/>
          <w:sz w:val="28"/>
          <w:szCs w:val="28"/>
        </w:rPr>
        <w:t>iệc</w:t>
      </w:r>
      <w:r w:rsidR="00DA131B" w:rsidRPr="00F4243B">
        <w:rPr>
          <w:color w:val="000000"/>
          <w:spacing w:val="-2"/>
          <w:sz w:val="28"/>
          <w:szCs w:val="28"/>
          <w:lang w:val="vi-VN"/>
        </w:rPr>
        <w:t xml:space="preserve"> </w:t>
      </w:r>
      <w:r w:rsidRPr="00F4243B">
        <w:rPr>
          <w:color w:val="000000"/>
          <w:spacing w:val="-2"/>
          <w:sz w:val="28"/>
          <w:szCs w:val="28"/>
          <w:lang w:val="pt-BR"/>
        </w:rPr>
        <w:t>thực hiện Nghị định số 63</w:t>
      </w:r>
      <w:r w:rsidR="00DA131B" w:rsidRPr="00F4243B">
        <w:rPr>
          <w:color w:val="000000"/>
          <w:spacing w:val="-2"/>
          <w:sz w:val="28"/>
          <w:szCs w:val="28"/>
          <w:lang w:val="pt-BR"/>
        </w:rPr>
        <w:t>/201</w:t>
      </w:r>
      <w:r w:rsidR="005D616E" w:rsidRPr="00F4243B">
        <w:rPr>
          <w:color w:val="000000"/>
          <w:spacing w:val="-2"/>
          <w:sz w:val="28"/>
          <w:szCs w:val="28"/>
          <w:lang w:val="pt-BR"/>
        </w:rPr>
        <w:t>0/NĐ-CP ngày 08</w:t>
      </w:r>
      <w:r w:rsidRPr="00F4243B">
        <w:rPr>
          <w:color w:val="000000"/>
          <w:spacing w:val="-2"/>
          <w:sz w:val="28"/>
          <w:szCs w:val="28"/>
          <w:lang w:val="pt-BR"/>
        </w:rPr>
        <w:t xml:space="preserve"> tháng</w:t>
      </w:r>
      <w:r w:rsidR="005D616E" w:rsidRPr="00F4243B">
        <w:rPr>
          <w:color w:val="000000"/>
          <w:spacing w:val="-2"/>
          <w:sz w:val="28"/>
          <w:szCs w:val="28"/>
          <w:lang w:val="pt-BR"/>
        </w:rPr>
        <w:t xml:space="preserve"> 6</w:t>
      </w:r>
      <w:r w:rsidRPr="00F4243B">
        <w:rPr>
          <w:color w:val="000000"/>
          <w:spacing w:val="-2"/>
          <w:sz w:val="28"/>
          <w:szCs w:val="28"/>
          <w:lang w:val="pt-BR"/>
        </w:rPr>
        <w:t xml:space="preserve"> năm 2010</w:t>
      </w:r>
      <w:r w:rsidR="00DA131B" w:rsidRPr="00F4243B">
        <w:rPr>
          <w:color w:val="000000"/>
          <w:spacing w:val="-2"/>
          <w:sz w:val="28"/>
          <w:szCs w:val="28"/>
          <w:lang w:val="pt-BR"/>
        </w:rPr>
        <w:t xml:space="preserve"> </w:t>
      </w:r>
      <w:r w:rsidR="00DA131B" w:rsidRPr="00F4243B">
        <w:rPr>
          <w:color w:val="000000"/>
          <w:spacing w:val="-2"/>
          <w:sz w:val="28"/>
          <w:szCs w:val="28"/>
          <w:lang w:val="vi-VN"/>
        </w:rPr>
        <w:t xml:space="preserve">của Chính phủ </w:t>
      </w:r>
      <w:r w:rsidR="00DA131B" w:rsidRPr="00F4243B">
        <w:rPr>
          <w:color w:val="000000"/>
          <w:spacing w:val="-2"/>
          <w:sz w:val="28"/>
          <w:szCs w:val="28"/>
          <w:lang w:val="pt-BR"/>
        </w:rPr>
        <w:t xml:space="preserve">về </w:t>
      </w:r>
      <w:r w:rsidRPr="00F4243B">
        <w:rPr>
          <w:color w:val="000000"/>
          <w:spacing w:val="-2"/>
          <w:sz w:val="28"/>
          <w:szCs w:val="28"/>
          <w:lang w:val="pt-BR"/>
        </w:rPr>
        <w:t>kiểm soát</w:t>
      </w:r>
      <w:r w:rsidR="00DA131B" w:rsidRPr="00F4243B">
        <w:rPr>
          <w:color w:val="000000"/>
          <w:spacing w:val="-2"/>
          <w:sz w:val="28"/>
          <w:szCs w:val="28"/>
          <w:lang w:val="pt-BR"/>
        </w:rPr>
        <w:t xml:space="preserve"> </w:t>
      </w:r>
      <w:r w:rsidR="00DA131B" w:rsidRPr="00F4243B">
        <w:rPr>
          <w:sz w:val="28"/>
          <w:szCs w:val="28"/>
        </w:rPr>
        <w:t>thủ tục hành chính</w:t>
      </w:r>
      <w:r w:rsidR="00DA131B" w:rsidRPr="00F4243B">
        <w:rPr>
          <w:color w:val="000000"/>
          <w:spacing w:val="-2"/>
          <w:sz w:val="28"/>
          <w:szCs w:val="28"/>
          <w:lang w:val="pt-BR"/>
        </w:rPr>
        <w:t xml:space="preserve"> </w:t>
      </w:r>
      <w:r w:rsidRPr="00F4243B">
        <w:rPr>
          <w:color w:val="000000"/>
          <w:spacing w:val="-2"/>
          <w:sz w:val="28"/>
          <w:szCs w:val="28"/>
          <w:lang w:val="pt-BR"/>
        </w:rPr>
        <w:t>(sau đây gọi tắt là Nghị định 63/2010</w:t>
      </w:r>
      <w:r w:rsidR="00DA131B" w:rsidRPr="00F4243B">
        <w:rPr>
          <w:color w:val="000000"/>
          <w:spacing w:val="-2"/>
          <w:sz w:val="28"/>
          <w:szCs w:val="28"/>
          <w:lang w:val="pt-BR"/>
        </w:rPr>
        <w:t>/NĐ-CP):</w:t>
      </w:r>
    </w:p>
    <w:p w14:paraId="1D3C431E" w14:textId="77777777" w:rsidR="00CE725A" w:rsidRPr="00F4243B" w:rsidRDefault="00DA131B" w:rsidP="00F4243B">
      <w:pPr>
        <w:widowControl w:val="0"/>
        <w:spacing w:before="120" w:line="288" w:lineRule="auto"/>
        <w:ind w:firstLine="567"/>
        <w:jc w:val="both"/>
        <w:rPr>
          <w:b/>
          <w:color w:val="000000" w:themeColor="text1"/>
          <w:lang w:val="pt-BR"/>
        </w:rPr>
      </w:pPr>
      <w:r w:rsidRPr="00F4243B">
        <w:rPr>
          <w:b/>
          <w:color w:val="000000" w:themeColor="text1"/>
          <w:lang w:val="pt-BR"/>
        </w:rPr>
        <w:t>I. KẾT QUẢ THỰC HIỆN</w:t>
      </w:r>
    </w:p>
    <w:p w14:paraId="2BE7A5EC" w14:textId="77777777" w:rsidR="00EE39C2" w:rsidRPr="00F4243B" w:rsidRDefault="00CE725A" w:rsidP="00F4243B">
      <w:pPr>
        <w:spacing w:before="120" w:line="288" w:lineRule="auto"/>
        <w:ind w:firstLine="567"/>
        <w:jc w:val="both"/>
        <w:rPr>
          <w:lang w:val="pt-BR"/>
        </w:rPr>
      </w:pPr>
      <w:r w:rsidRPr="00F4243B">
        <w:rPr>
          <w:b/>
          <w:lang w:val="pt-BR"/>
        </w:rPr>
        <w:t xml:space="preserve">2. Giai đoạn 2011 </w:t>
      </w:r>
      <w:r w:rsidR="00EE39C2" w:rsidRPr="00F4243B">
        <w:rPr>
          <w:b/>
          <w:lang w:val="pt-BR"/>
        </w:rPr>
        <w:t>–</w:t>
      </w:r>
      <w:r w:rsidRPr="00F4243B">
        <w:rPr>
          <w:b/>
          <w:lang w:val="pt-BR"/>
        </w:rPr>
        <w:t xml:space="preserve"> 2020</w:t>
      </w:r>
    </w:p>
    <w:p w14:paraId="70D52845" w14:textId="77777777" w:rsidR="00EE39C2" w:rsidRPr="00F4243B" w:rsidRDefault="00CE725A" w:rsidP="00F4243B">
      <w:pPr>
        <w:spacing w:before="120" w:line="288" w:lineRule="auto"/>
        <w:ind w:firstLine="567"/>
        <w:jc w:val="both"/>
        <w:rPr>
          <w:lang w:val="pt-BR"/>
        </w:rPr>
      </w:pPr>
      <w:r w:rsidRPr="00F4243B">
        <w:rPr>
          <w:lang w:val="pt-BR"/>
        </w:rPr>
        <w:t>Tiếp tục duy trì và phát huy kết quả cải cách TTHC giai đoạn trước, nhất là việc triển khai Đề án 30, giai đoạn 2011 - 2020, công tác cải cách TTHC tiếp tục được quan tâm chỉ đạo quyết liệt, đã đạt được một số kết quả nổi bật sau:</w:t>
      </w:r>
    </w:p>
    <w:p w14:paraId="3C76E198" w14:textId="77777777" w:rsidR="00EE39C2" w:rsidRPr="00F4243B" w:rsidRDefault="00EE39C2" w:rsidP="00F4243B">
      <w:pPr>
        <w:spacing w:before="120" w:line="288" w:lineRule="auto"/>
        <w:ind w:firstLine="567"/>
        <w:jc w:val="both"/>
      </w:pPr>
      <w:r w:rsidRPr="00F4243B">
        <w:rPr>
          <w:b/>
          <w:i/>
        </w:rPr>
        <w:t xml:space="preserve">a) </w:t>
      </w:r>
      <w:r w:rsidR="00CE725A" w:rsidRPr="00F4243B">
        <w:rPr>
          <w:b/>
          <w:i/>
        </w:rPr>
        <w:t>Về kiểm soát việc ban hành TTHC</w:t>
      </w:r>
    </w:p>
    <w:p w14:paraId="37B947E1" w14:textId="77777777" w:rsidR="00CE725A" w:rsidRPr="00F4243B" w:rsidRDefault="00CE725A" w:rsidP="00F4243B">
      <w:pPr>
        <w:spacing w:before="120" w:line="288" w:lineRule="auto"/>
        <w:ind w:firstLine="567"/>
        <w:jc w:val="both"/>
      </w:pPr>
      <w:r w:rsidRPr="00F4243B">
        <w:t xml:space="preserve">Việc thực hiện đánh giá tác động các quy định về TTHC đối với dự án, dự thảo văn bản quy phạm pháp luật (QPPL) tại các bộ, ngành, địa phương được tiếp tục quan tâm và ngày càng đi vào nề nếp, nhất là quy định về đánh giá tác động, thẩm định TTHC tại Luật Ban hành văn bản QPPL năm 2015 và </w:t>
      </w:r>
      <w:r w:rsidRPr="00F4243B">
        <w:rPr>
          <w:spacing w:val="-2"/>
        </w:rPr>
        <w:t>Nghị định số 63/2010/NĐ-CP</w:t>
      </w:r>
      <w:r w:rsidRPr="00F4243B">
        <w:t xml:space="preserve">. Từ năm 2011 - 2016, các bộ, ngành, địa phương đã thực hiện đánh giá tác động theo các tiêu chí về sự cần thiết, tính hợp lý và chi phí tuân thủ TTHC đối với trên 9.000 TTHC quy định tại 2.369 văn bản QPPL. Bên cạnh việc thực hiện đánh giá tác động của các cơ quan, đơn vị chủ trì soạn thảo, từ năm 2014 - 2016, Tổ chức Pháp chế các bộ, ngành, Sở Tư pháp các địa phương đã tham gia ý kiến đối với 4.824 TTHC tại 1.190 dự thảo văn bản QPPL và thẩm định đối với 4.403 TTHC tại 1.063 dự thảo văn bản QPPL. </w:t>
      </w:r>
    </w:p>
    <w:p w14:paraId="5A075D66" w14:textId="77777777" w:rsidR="00CE725A" w:rsidRPr="00F4243B" w:rsidRDefault="00CE725A" w:rsidP="00F4243B">
      <w:pPr>
        <w:spacing w:before="120" w:line="288" w:lineRule="auto"/>
        <w:ind w:firstLine="720"/>
        <w:jc w:val="both"/>
        <w:rPr>
          <w:i/>
        </w:rPr>
      </w:pPr>
      <w:r w:rsidRPr="00F4243B">
        <w:rPr>
          <w:b/>
          <w:i/>
        </w:rPr>
        <w:t xml:space="preserve">b) Về cắt giảm, đơn giản hóa TTHC </w:t>
      </w:r>
    </w:p>
    <w:p w14:paraId="67970A03" w14:textId="77777777" w:rsidR="00CE725A" w:rsidRPr="00F4243B" w:rsidRDefault="00CE725A" w:rsidP="00F4243B">
      <w:pPr>
        <w:spacing w:before="120" w:line="288" w:lineRule="auto"/>
        <w:ind w:firstLine="720"/>
        <w:jc w:val="both"/>
        <w:rPr>
          <w:spacing w:val="-4"/>
        </w:rPr>
      </w:pPr>
      <w:r w:rsidRPr="00F4243B">
        <w:rPr>
          <w:spacing w:val="-4"/>
        </w:rPr>
        <w:lastRenderedPageBreak/>
        <w:t>- Thực thi 25 Nghị quyết chuyên đề năm 2010: Tính đến hết tháng 12/2016, các bộ, ngành đã ban hành theo thẩm quyền hoặc trình Chính phủ, Thủ tướng Chính phủ ban hành các văn bản QPPL để đơn giản hóa 4.527/4.723 TTHC, đạt tỷ lệ 95,8%.</w:t>
      </w:r>
    </w:p>
    <w:p w14:paraId="28680DE0" w14:textId="77777777" w:rsidR="00CE725A" w:rsidRPr="00F4243B" w:rsidRDefault="00CE725A" w:rsidP="00F4243B">
      <w:pPr>
        <w:spacing w:before="120" w:line="288" w:lineRule="auto"/>
        <w:ind w:firstLine="720"/>
        <w:jc w:val="both"/>
        <w:rPr>
          <w:lang w:val="vi-VN"/>
        </w:rPr>
      </w:pPr>
      <w:r w:rsidRPr="00F4243B">
        <w:t>- Về cắt giảm điều kiện kinh doanh (ĐKKD), năm 2018-2019, các bộ, ngành đã rà soát, đề xuất cắt giảm tổng số 3.451/6.191 ĐKKD (đạt 55,7%), tiết kiệm 5.941.460 ngày công, tương đương 893,9 tỷ đồng/01 năm. Bên cạnh đó, Chính phủ cũng ban hành 50 Nghị định về ĐKKD để hiện thực hóa các phương án cắt giảm, đơn giản hóa các ĐKKD trong các lĩnh vực quản lý.</w:t>
      </w:r>
      <w:r w:rsidRPr="00F4243B">
        <w:rPr>
          <w:lang w:val="vi-VN"/>
        </w:rPr>
        <w:t xml:space="preserve"> Chính phủ đã ban hành Nghị quyết số 68/NQ-CP ngày 12/5/2020 về Chương trình cắt giảm, đơn giản hóa quy định liên quan đến hoạt động kinh doanh giai đoạn 2020 - 2025.</w:t>
      </w:r>
    </w:p>
    <w:p w14:paraId="3AE91CB9" w14:textId="77777777" w:rsidR="00CE725A" w:rsidRPr="00F4243B" w:rsidRDefault="00CE725A" w:rsidP="00F4243B">
      <w:pPr>
        <w:spacing w:before="120" w:line="288" w:lineRule="auto"/>
        <w:ind w:firstLine="720"/>
        <w:jc w:val="both"/>
        <w:rPr>
          <w:lang w:val="vi-VN"/>
        </w:rPr>
      </w:pPr>
      <w:r w:rsidRPr="00F4243B">
        <w:rPr>
          <w:lang w:val="vi-VN"/>
        </w:rPr>
        <w:t>- Về cải cách hoạt động kiểm tra chuyên ngành (KTCN), trong 4 năm (2016 - 2020), Chính phủ, Thủ tướng Chính phủ, Bộ trưởng đã ban hành theo thẩm quyền 21 văn bản QPPL để cắt giảm, đơn giản hóa 30/120 thủ tục KTCN, cắt giảm 6.776/9.926 (68%) danh mục dòng hàng KTCN; giúp tiết kiệm chi phí xã hội hơn 12 triệu ngày công, tương đương 5.442,8 tỷ đồng/năm</w:t>
      </w:r>
      <w:r w:rsidRPr="00F4243B">
        <w:rPr>
          <w:rStyle w:val="FootnoteReference"/>
        </w:rPr>
        <w:footnoteReference w:id="1"/>
      </w:r>
      <w:r w:rsidRPr="00F4243B">
        <w:rPr>
          <w:lang w:val="vi-VN"/>
        </w:rPr>
        <w:t>. Đồng thời, Chính phủ cũng đã chỉ đạo phương án xử lý theo hướng tập trung một đầu mối thực hiện kiểm tra chuyên ngành đối với 1.501 mặt hàng chồng chéo về thẩm quyền giữa các bộ. Qua đó, nâng cao hiệu quả cải cách hoạt động kiểm tra hàng hóa chuyên ngành, cải thiện môi trường kinh doanh, nâng cao năng lực cạnh tranh quốc gia.</w:t>
      </w:r>
    </w:p>
    <w:p w14:paraId="448B9466" w14:textId="77777777" w:rsidR="00CE725A" w:rsidRPr="00F4243B" w:rsidRDefault="00CE725A" w:rsidP="00F4243B">
      <w:pPr>
        <w:spacing w:before="120" w:line="288" w:lineRule="auto"/>
        <w:ind w:firstLine="720"/>
        <w:jc w:val="both"/>
        <w:rPr>
          <w:lang w:val="vi-VN"/>
        </w:rPr>
      </w:pPr>
      <w:r w:rsidRPr="00F4243B">
        <w:rPr>
          <w:lang w:val="vi-VN"/>
        </w:rPr>
        <w:t>- Kết quả cải cách TTHC liên quan đến người dân: Năm 2013, Thủ tướng Chính phủ đã phê duyệt Đề án tổng thể đơn giản hóa TTHC, giấy tờ công dân và các cơ sở dữ liệu quốc gia liên quan đến quản lý dân cư giai đoạn 2013-2020. Những nội dung đề xuất tại Đề án đã được Chính phủ nghiên cứu, báo cáo Quốc hội và thể chế hóa tại Luật Căn cước công dân và Luật Hộ tịch. Theo đó, 17/46 TTHC, nhóm TTHC trong đăng ký hộ tịch được cắt giảm, thực hiện việc cấp số định danh cá nhân, bảo đảm tốt hơn quyền con người, quyền công dân; tạo tiền đề để tiến hành đổi mới căn bản về tổ chức, hoạt động quản lý nhà nước về dân cư theo hướng hiện đại. Từ năm 2017-2020, Chính phủ đã ban hành 20 Nghị quyết chuyên đề về đơn giản hóa TTHC, giấy tờ công dân trên các lĩnh vực quản lý để cắt giảm, đơn giản hóa 1.097 thủ tục, với 992 mẫu đơn và 399 tờ khai được quy định tại 332 văn bản QPPL.</w:t>
      </w:r>
    </w:p>
    <w:p w14:paraId="39C8DFB4" w14:textId="77777777" w:rsidR="00CE725A" w:rsidRPr="00F4243B" w:rsidRDefault="00CE725A" w:rsidP="00F4243B">
      <w:pPr>
        <w:spacing w:before="120" w:line="288" w:lineRule="auto"/>
        <w:ind w:firstLine="720"/>
        <w:jc w:val="both"/>
        <w:rPr>
          <w:b/>
          <w:i/>
          <w:lang w:val="vi-VN"/>
        </w:rPr>
      </w:pPr>
      <w:r w:rsidRPr="00F4243B">
        <w:rPr>
          <w:b/>
          <w:i/>
          <w:lang w:val="vi-VN"/>
        </w:rPr>
        <w:t>c) Về tổ chức thực hiện TTHC</w:t>
      </w:r>
    </w:p>
    <w:p w14:paraId="6A3ABD47" w14:textId="77777777" w:rsidR="00EE39C2" w:rsidRPr="00F4243B" w:rsidRDefault="00CE725A" w:rsidP="00F4243B">
      <w:pPr>
        <w:spacing w:before="120" w:line="288" w:lineRule="auto"/>
        <w:ind w:firstLine="720"/>
        <w:jc w:val="both"/>
        <w:rPr>
          <w:lang w:val="vi-VN"/>
        </w:rPr>
      </w:pPr>
      <w:r w:rsidRPr="00F4243B">
        <w:rPr>
          <w:lang w:val="vi-VN"/>
        </w:rPr>
        <w:lastRenderedPageBreak/>
        <w:t>Giai đoạn 2011-2020 đã thực hiện đổi mới mạnh mẽ việc giải quyết TTHC theo cơ chế một cửa, một cửa liên thông gắn với xây dựng Chính phủ điện tử. Ngày 23/4/2018, Chính phủ đã ban hành Nghị định số 61/2018/NĐ-CP về thực hiện cơ chế một cửa, một cửa liên thông trong giải quyết TTHC. Nghị định đã tạo cơ sở pháp lý cho việc mở rộng phạm vi và đối tượng áp dụng tại các bộ, cơ quan ngang bộ thay vì chỉ ở địa phương như trước đây; hoàn thiện các quy định về tổ chức, hoạt động của Bộ phận Một cửa các cấp; quy định rõ toàn bộ quy trình giải quyết TTHC; đẩy mạnh ứng dụng công nghệ thông tin trong giải quyết TTHC thông qua việc thiết lập Cổng Dịch vụ công quốc gia và xây dựng Cổng Dịch vụ công, Hệ thống thông tin một cửa điện tử tập trung, thống nhất cấp bộ, cấp tỉnh. Theo đó, 100% các bộ, ngành, địa phương đã kiện toàn hệ thống một cửa, một cửa liên thông, ứng dụng công nghệ thông tin trong tiếp nhận, giải quyết TTHC; chất lượng giải quyết hồ sơ, tỷ lệ giải quyết đúng hạn đã có sự cải thiện rõ rệt.</w:t>
      </w:r>
    </w:p>
    <w:p w14:paraId="6A7C322B" w14:textId="77777777" w:rsidR="00EE39C2" w:rsidRPr="00F4243B" w:rsidRDefault="00CE725A" w:rsidP="00F4243B">
      <w:pPr>
        <w:spacing w:before="120" w:line="288" w:lineRule="auto"/>
        <w:ind w:firstLine="720"/>
        <w:jc w:val="both"/>
        <w:rPr>
          <w:b/>
          <w:lang w:val="vi-VN"/>
        </w:rPr>
      </w:pPr>
      <w:r w:rsidRPr="00F4243B">
        <w:rPr>
          <w:b/>
          <w:lang w:val="vi-VN"/>
        </w:rPr>
        <w:t>3. Giai đoạn từ năm 2021 đến nay</w:t>
      </w:r>
    </w:p>
    <w:p w14:paraId="399D929C" w14:textId="77777777" w:rsidR="00EA2F74" w:rsidRPr="00F4243B" w:rsidRDefault="00EA2F74" w:rsidP="00F4243B">
      <w:pPr>
        <w:spacing w:before="120" w:line="288" w:lineRule="auto"/>
        <w:ind w:firstLine="720"/>
        <w:jc w:val="both"/>
        <w:rPr>
          <w:lang w:val="vi-VN"/>
        </w:rPr>
      </w:pPr>
      <w:r w:rsidRPr="00F4243B">
        <w:rPr>
          <w:lang w:val="vi-VN"/>
        </w:rPr>
        <w:t>Trong giai đoạn 2021–2026, công tác cải cách thủ tục hành chính đã có bước chuyển mạnh mẽ cả về tư duy và phương thức triển khai, từng bước chuyển từ mô hình Chính phủ điện tử sang Chính phủ số, lấy dữ liệu làm nền tảng, lấy người dân, doanh nghiệp làm trung tâm và lấy hiệu quả thực chất làm thước đo. Các kết quả đạt được thể hiện tương đối toàn diện trên các khâu của vòng đời thủ tục hành chính, từ xây dựng, ban hành đến tổ chức thực hiện và giám sát, đánh giá.</w:t>
      </w:r>
    </w:p>
    <w:p w14:paraId="6D0E2F3B" w14:textId="77777777" w:rsidR="00F75E73" w:rsidRPr="00F4243B" w:rsidRDefault="00F75E73" w:rsidP="00F4243B">
      <w:pPr>
        <w:pStyle w:val="NormalWeb"/>
        <w:spacing w:before="120" w:beforeAutospacing="0" w:after="0" w:afterAutospacing="0" w:line="288" w:lineRule="auto"/>
        <w:ind w:firstLine="720"/>
        <w:jc w:val="both"/>
        <w:rPr>
          <w:b/>
          <w:i/>
          <w:sz w:val="28"/>
          <w:szCs w:val="28"/>
          <w:lang w:val="vi-VN"/>
        </w:rPr>
      </w:pPr>
      <w:r w:rsidRPr="00F4243B">
        <w:rPr>
          <w:b/>
          <w:i/>
          <w:sz w:val="28"/>
          <w:szCs w:val="28"/>
          <w:lang w:val="vi-VN"/>
        </w:rPr>
        <w:t xml:space="preserve">a) </w:t>
      </w:r>
      <w:r w:rsidR="00EA2F74" w:rsidRPr="00F4243B">
        <w:rPr>
          <w:b/>
          <w:i/>
          <w:sz w:val="28"/>
          <w:szCs w:val="28"/>
          <w:lang w:val="vi-VN"/>
        </w:rPr>
        <w:t>Về kiểm soát việc ban hành thủ tục</w:t>
      </w:r>
      <w:r w:rsidRPr="00F4243B">
        <w:rPr>
          <w:b/>
          <w:i/>
          <w:sz w:val="28"/>
          <w:szCs w:val="28"/>
          <w:lang w:val="vi-VN"/>
        </w:rPr>
        <w:t xml:space="preserve"> hành chính</w:t>
      </w:r>
    </w:p>
    <w:p w14:paraId="5436CBFD" w14:textId="2B33463A" w:rsidR="00EA2F74" w:rsidRPr="00F4243B" w:rsidRDefault="008E58C3" w:rsidP="00F4243B">
      <w:pPr>
        <w:pStyle w:val="NormalWeb"/>
        <w:spacing w:before="120" w:beforeAutospacing="0" w:after="0" w:afterAutospacing="0" w:line="288" w:lineRule="auto"/>
        <w:ind w:firstLine="720"/>
        <w:jc w:val="both"/>
        <w:rPr>
          <w:sz w:val="28"/>
          <w:szCs w:val="28"/>
          <w:lang w:val="vi-VN"/>
        </w:rPr>
      </w:pPr>
      <w:r w:rsidRPr="00F4243B">
        <w:rPr>
          <w:sz w:val="28"/>
          <w:szCs w:val="28"/>
        </w:rPr>
        <w:t>-</w:t>
      </w:r>
      <w:r w:rsidR="00F75E73" w:rsidRPr="00F4243B">
        <w:rPr>
          <w:sz w:val="28"/>
          <w:szCs w:val="28"/>
          <w:lang w:val="vi-VN"/>
        </w:rPr>
        <w:t xml:space="preserve"> C</w:t>
      </w:r>
      <w:r w:rsidR="00EA2F74" w:rsidRPr="00F4243B">
        <w:rPr>
          <w:sz w:val="28"/>
          <w:szCs w:val="28"/>
          <w:lang w:val="vi-VN"/>
        </w:rPr>
        <w:t xml:space="preserve">ông tác đánh giá tác động, thẩm định, thẩm tra quy định thủ tục hành chính và quy định kinh doanh ngày càng đi vào thực chất, góp phần kiểm soát chặt chẽ chất lượng thể chế ngay từ khâu đầu vào. Trong giai đoạn 2021–2025, các bộ, ngành đã thực hiện thẩm định đối với 3.614 thủ tục hành chính trong 377 đề xuất chính sách và dự thảo văn bản quy phạm pháp luật </w:t>
      </w:r>
      <w:r w:rsidR="00EA2F74" w:rsidRPr="00F4243B">
        <w:rPr>
          <w:spacing w:val="-2"/>
          <w:sz w:val="28"/>
          <w:szCs w:val="28"/>
          <w:lang w:val="vi-VN"/>
        </w:rPr>
        <w:t>(gồm 83 Luật, 249 Nghị định, 04 Nghị quyết của Chính phủ, 28 Quyết định của Thủ tướng Chính phủ, 13 Thông tư). Trong đó, Bộ Tư pháp đã đề nghị không quy định 50 TTHC, đề nghị sửa đổi, bổ sung 2.487 TTHC (chiếm tỷ lệ 70% tổng số quy định tại các đề xuất chính sách và dự án, dự thảo văn bản).</w:t>
      </w:r>
    </w:p>
    <w:p w14:paraId="553C95EE" w14:textId="77777777" w:rsidR="00F75E73" w:rsidRPr="00F4243B" w:rsidRDefault="00EA2F74" w:rsidP="00F4243B">
      <w:pPr>
        <w:widowControl w:val="0"/>
        <w:spacing w:before="120" w:line="288" w:lineRule="auto"/>
        <w:ind w:firstLine="720"/>
        <w:jc w:val="both"/>
        <w:rPr>
          <w:lang w:val="vi-VN"/>
        </w:rPr>
      </w:pPr>
      <w:r w:rsidRPr="00F4243B">
        <w:rPr>
          <w:lang w:val="vi-VN"/>
        </w:rPr>
        <w:t>Đồng thời, Văn phòng Chính phủ đã thực hiện thẩm tra đối với gần 3.900 thủ tục hành chính và 200 quy định kin</w:t>
      </w:r>
      <w:r w:rsidR="00F75E73" w:rsidRPr="00F4243B">
        <w:rPr>
          <w:lang w:val="vi-VN"/>
        </w:rPr>
        <w:t>h doanh tại 380 dự thảo văn bản QPPL</w:t>
      </w:r>
      <w:r w:rsidRPr="00F4243B">
        <w:rPr>
          <w:lang w:val="vi-VN"/>
        </w:rPr>
        <w:t xml:space="preserve"> </w:t>
      </w:r>
      <w:r w:rsidR="00F75E73" w:rsidRPr="00F4243B">
        <w:rPr>
          <w:lang w:val="vi-VN"/>
        </w:rPr>
        <w:t>(gồm: 37 Luật, 325 Nghị định, 18 Quyết định của Thủ tướng Chính phủ), trong đó, đề nghị không quy định 177 TTHC, 11 quy định kinh doanh, sửa đổi bổ sung 2.167 TTHC, 90 quy định kinh doanh (chiếm 59,67%).</w:t>
      </w:r>
    </w:p>
    <w:p w14:paraId="1050B051" w14:textId="196E6449" w:rsidR="00EA2F74" w:rsidRPr="00F4243B" w:rsidRDefault="00F75E73" w:rsidP="00F4243B">
      <w:pPr>
        <w:widowControl w:val="0"/>
        <w:spacing w:before="120" w:line="288" w:lineRule="auto"/>
        <w:ind w:firstLine="720"/>
        <w:jc w:val="both"/>
        <w:rPr>
          <w:lang w:val="vi-VN"/>
        </w:rPr>
      </w:pPr>
      <w:r w:rsidRPr="00F4243B">
        <w:rPr>
          <w:spacing w:val="3"/>
          <w:shd w:val="clear" w:color="auto" w:fill="FFFFFF"/>
          <w:lang w:val="vi-VN"/>
        </w:rPr>
        <w:lastRenderedPageBreak/>
        <w:t xml:space="preserve">Cơ quan kiểm soát TTHC tại các bộ, cơ quan ngang bộ, Ủy ban nhân dân cấp tỉnh đã phối hợp thẩm định đối với 3.621 TTHC tại 524 dự thảo thông tư của Bộ trưởng, 1.355 TTHC tại 262 dự thảo nghị quyết của Hội đồng nhân dân cấp tỉnh, 129 quyết định của Ủy ban nhân dân cấp tỉnh, </w:t>
      </w:r>
      <w:r w:rsidR="00EA2F74" w:rsidRPr="00F4243B">
        <w:rPr>
          <w:lang w:val="vi-VN"/>
        </w:rPr>
        <w:t xml:space="preserve">góp phần hạn chế việc phát sinh các thủ tục không cần thiết, không hợp lý ngay từ khâu </w:t>
      </w:r>
      <w:r w:rsidR="008E58C3" w:rsidRPr="00F4243B">
        <w:rPr>
          <w:lang w:val="vi-VN"/>
        </w:rPr>
        <w:t>xây dựng dự thảo văn bản.</w:t>
      </w:r>
    </w:p>
    <w:p w14:paraId="3B0A0A81" w14:textId="2BE68124" w:rsidR="008E58C3" w:rsidRPr="00F4243B" w:rsidRDefault="008E58C3" w:rsidP="00F4243B">
      <w:pPr>
        <w:widowControl w:val="0"/>
        <w:spacing w:before="120" w:line="288" w:lineRule="auto"/>
        <w:ind w:firstLine="720"/>
        <w:jc w:val="both"/>
      </w:pPr>
    </w:p>
    <w:p w14:paraId="0288D9A3" w14:textId="77777777" w:rsidR="00EA2F74" w:rsidRPr="00F4243B" w:rsidRDefault="00EA2F74" w:rsidP="00F4243B">
      <w:pPr>
        <w:spacing w:before="120" w:line="288" w:lineRule="auto"/>
        <w:ind w:firstLine="720"/>
        <w:jc w:val="both"/>
        <w:rPr>
          <w:i/>
          <w:lang w:val="vi-VN"/>
        </w:rPr>
      </w:pPr>
      <w:r w:rsidRPr="00F4243B">
        <w:rPr>
          <w:b/>
          <w:i/>
          <w:lang w:val="vi-VN"/>
        </w:rPr>
        <w:t xml:space="preserve">b) Về cắt giảm, đơn giản hóa TTHC </w:t>
      </w:r>
    </w:p>
    <w:p w14:paraId="5711FD42" w14:textId="77777777" w:rsidR="005D1959" w:rsidRPr="00F4243B" w:rsidRDefault="00EA2F74" w:rsidP="00F4243B">
      <w:pPr>
        <w:widowControl w:val="0"/>
        <w:spacing w:before="120" w:line="288" w:lineRule="auto"/>
        <w:ind w:firstLine="720"/>
        <w:jc w:val="both"/>
        <w:rPr>
          <w:lang w:val="vi-VN"/>
        </w:rPr>
      </w:pPr>
      <w:r w:rsidRPr="00F4243B">
        <w:rPr>
          <w:lang w:val="vi-VN"/>
        </w:rPr>
        <w:t xml:space="preserve">Công tác rà soát, cắt giảm và đơn giản hóa thủ tục hành chính, điều kiện đầu tư kinh doanh được triển khai đồng bộ, có trọng tâm, trọng điểm và đạt nhiều kết quả cụ thể. </w:t>
      </w:r>
    </w:p>
    <w:p w14:paraId="682DABE9" w14:textId="77777777" w:rsidR="005D1959" w:rsidRPr="00F4243B" w:rsidRDefault="005D1959" w:rsidP="00F4243B">
      <w:pPr>
        <w:widowControl w:val="0"/>
        <w:spacing w:before="120" w:line="288" w:lineRule="auto"/>
        <w:ind w:firstLine="720"/>
        <w:jc w:val="both"/>
        <w:rPr>
          <w:lang w:val="vi-VN"/>
        </w:rPr>
      </w:pPr>
      <w:r w:rsidRPr="00F4243B">
        <w:rPr>
          <w:lang w:val="vi-VN"/>
        </w:rPr>
        <w:t>- Thực hiện Nghị quyết số 68/NQ-CP ngày 12/5/2020 của Chính phủ ban hành Chương trình cắt giảm, đơn giản hóa quy định liên quan đến hoạt động kinh doanh giai đoạn 2020 - 2025, từ năm 2021 đến tháng 10/2025, đã cắt giảm, đơn giản hóa 3.241/15.763 quy định kinh doanh (gồm: 1.778 TTHC, 229 yêu cầu điều kiện, 101 chế độ báo cáo, 164 quy chuẩn, tiêu chuẩn và 969 mặt hàng kiểm tra chuyên ngành) tại 275 văn bản QPPL, đạt 20,5%.</w:t>
      </w:r>
    </w:p>
    <w:p w14:paraId="3B28FFCF" w14:textId="77777777" w:rsidR="005D1959" w:rsidRPr="00F4243B" w:rsidRDefault="005D1959" w:rsidP="00F4243B">
      <w:pPr>
        <w:spacing w:before="120" w:line="288" w:lineRule="auto"/>
        <w:ind w:firstLine="720"/>
        <w:jc w:val="both"/>
        <w:rPr>
          <w:spacing w:val="-6"/>
          <w:lang w:val="vi-VN"/>
        </w:rPr>
      </w:pPr>
      <w:r w:rsidRPr="00F4243B">
        <w:rPr>
          <w:lang w:val="vi-VN"/>
        </w:rPr>
        <w:t xml:space="preserve">Thực hiện chỉ đạo của Bộ Chính trị và đồng chí Tổng Bí thư, Chính phủ đã </w:t>
      </w:r>
      <w:r w:rsidRPr="00F4243B">
        <w:rPr>
          <w:spacing w:val="2"/>
          <w:lang w:val="vi-VN"/>
        </w:rPr>
        <w:t>ban hành Chương trình cắt giảm, đơn giản hóa TTHC liên quan đến hoạt động sản</w:t>
      </w:r>
      <w:r w:rsidRPr="00F4243B">
        <w:rPr>
          <w:lang w:val="vi-VN"/>
        </w:rPr>
        <w:t xml:space="preserve"> xuất, kinh doanh năm 2025 và 2026</w:t>
      </w:r>
      <w:r w:rsidRPr="00F4243B">
        <w:rPr>
          <w:rStyle w:val="FootnoteReference"/>
        </w:rPr>
        <w:footnoteReference w:id="2"/>
      </w:r>
      <w:r w:rsidRPr="00F4243B">
        <w:rPr>
          <w:lang w:val="vi-VN"/>
        </w:rPr>
        <w:t xml:space="preserve">. Theo đó, </w:t>
      </w:r>
      <w:r w:rsidRPr="00F4243B">
        <w:rPr>
          <w:spacing w:val="-6"/>
          <w:lang w:val="vi-VN"/>
        </w:rPr>
        <w:t>Thủ tướng Chính phủ đã ban hành 15 Quyết định phê duyệt phương án cắt giảm TTHC, ĐKKD thuộc phạm vi quản lý của 14 Bộ để cắt giảm, đơn giản hóa 3.085 TTHC</w:t>
      </w:r>
      <w:r w:rsidRPr="00F4243B">
        <w:rPr>
          <w:rStyle w:val="FootnoteReference"/>
          <w:spacing w:val="-6"/>
          <w:lang w:val="vi-VN"/>
        </w:rPr>
        <w:footnoteReference w:id="3"/>
      </w:r>
      <w:r w:rsidRPr="00F4243B">
        <w:rPr>
          <w:spacing w:val="-6"/>
          <w:lang w:val="vi-VN"/>
        </w:rPr>
        <w:t>/4.888 TTHC liên quan đến hoạt động sản xuất, kinh doanh (dự kiến đạt 63,1%), cắt giảm 2.371/6.974 ĐKKD thuộc ngành, nghề kinh doanh có điều kiện (dự kiến đạt 33,9%)</w:t>
      </w:r>
      <w:r w:rsidRPr="00F4243B">
        <w:rPr>
          <w:rStyle w:val="FootnoteReference"/>
          <w:spacing w:val="-6"/>
          <w:lang w:val="vi-VN"/>
        </w:rPr>
        <w:footnoteReference w:id="4"/>
      </w:r>
      <w:r w:rsidRPr="00F4243B">
        <w:rPr>
          <w:spacing w:val="-6"/>
          <w:lang w:val="vi-VN"/>
        </w:rPr>
        <w:t>. Tính đến tháng 01 năm 2026, đã sửa đổi văn bản QPPL để cắt giảm, đơn giản hóa 2.690 TTHC/3.085 TTHC đã được phê duyệt phương án (đạt 87,2%); cắt giảm 1.973 ĐKKD/2.371 ĐKKD đã được phê duyệt phương án (đạt 83,2%), tương ứng cắt giảm 28% chi phí tuân thủ TTHC (khoảng 34,6 nghìn tỷ đồng).</w:t>
      </w:r>
    </w:p>
    <w:p w14:paraId="773AEC8F" w14:textId="77777777" w:rsidR="00EE39C2" w:rsidRPr="00F4243B" w:rsidRDefault="005D1959" w:rsidP="00F4243B">
      <w:pPr>
        <w:spacing w:before="120" w:line="288" w:lineRule="auto"/>
        <w:ind w:firstLine="720"/>
        <w:jc w:val="both"/>
        <w:rPr>
          <w:spacing w:val="-6"/>
          <w:lang w:val="vi-VN"/>
        </w:rPr>
      </w:pPr>
      <w:r w:rsidRPr="00F4243B">
        <w:rPr>
          <w:lang w:val="vi-VN"/>
        </w:rPr>
        <w:t xml:space="preserve">Bên cạnh đó, Thủ tướng Chính phủ phê duyệt phương án cắt giảm, đơn giản hóa 163 TTHC nội bộ của 08 bộ, trong đó các bộ đã thực thi phương án cắt giảm, </w:t>
      </w:r>
      <w:r w:rsidRPr="00F4243B">
        <w:rPr>
          <w:lang w:val="vi-VN"/>
        </w:rPr>
        <w:lastRenderedPageBreak/>
        <w:t>đơn giản hóa đối với 38/163 TTHC; đồng thời, các bộ đã chủ động cắt giảm, đơn giản hóa 110 TTHC nội bộ trên một số lĩnh vực.</w:t>
      </w:r>
    </w:p>
    <w:p w14:paraId="2A92292E" w14:textId="77777777" w:rsidR="005D1959" w:rsidRPr="00F4243B" w:rsidRDefault="005D1959" w:rsidP="00F4243B">
      <w:pPr>
        <w:spacing w:before="120" w:line="288" w:lineRule="auto"/>
        <w:ind w:firstLine="720"/>
        <w:jc w:val="both"/>
        <w:rPr>
          <w:spacing w:val="-6"/>
          <w:lang w:val="vi-VN"/>
        </w:rPr>
      </w:pPr>
      <w:r w:rsidRPr="00F4243B">
        <w:rPr>
          <w:lang w:val="vi-VN"/>
        </w:rPr>
        <w:t>-</w:t>
      </w:r>
      <w:r w:rsidRPr="00F4243B">
        <w:rPr>
          <w:b/>
          <w:lang w:val="vi-VN"/>
        </w:rPr>
        <w:t xml:space="preserve"> </w:t>
      </w:r>
      <w:r w:rsidRPr="00F4243B">
        <w:rPr>
          <w:spacing w:val="-2"/>
          <w:lang w:val="vi-VN"/>
        </w:rPr>
        <w:t>Triển khai mô hình tổ chức chính quyền địa phương 02 cấp, Chính phủ đã ban hành 30 Nghị định, theo đó đã phân cấp, phân quyền, phân định thẩm quyền từ Trung ương cho cấp tỉnh 748 TTHC, cấp xã 268 TTHC. Đến ngày 10/3/2026, tổng số TTHC thuộc phạm vi quản lý của bộ, cơ quan ngang bộ là 5.337 TTHC, trong đó nếu phân chia TTHC theo cấp hành chính (có một số TTHC do nhiều cấp hành chính thực hiện tùy thuộc vào quy mô, tính chất, đặc điểm của đối tượng thực hiện, ví dụ, cấp phép xây dựng thực hiện ở cấp tỉnh và cấp xã) thì tổng số TTHC là 6.151 TTHC, gồm: (i) TTHC do cấp Bộ thực hiện: 2.781 TTHC, chiếm 45,2%; (ii) TTHC do cấp tỉnh thực hiện (kể cả các TTHC do các cơ quan ngành dọc cấp tỉnh thực hiện như: Thuế, Bảo hiểm xã hội,…): 2.482 TTHC, chiếm 39,5%; (ii) TTHC do cấp xã thực hiện (kể cả các TTHC do các cơ quan ngành dọc ở cấp khu vực thực hiện như: Thuế, Bảo hiểm xã hội,…): 803 TTHC, chiếm 13,1%; (iv) Còn lại là TTHC do các cơ quan khác thực hiện (như cơ quan đại diện Việt Nam ở nước ngoài; Bệnh viện, Trường học,…): 139 TTHC, chiếm 2,3%.</w:t>
      </w:r>
    </w:p>
    <w:p w14:paraId="44428DAC" w14:textId="77777777" w:rsidR="00C50FD9" w:rsidRPr="00F4243B" w:rsidRDefault="00C50FD9" w:rsidP="00F4243B">
      <w:pPr>
        <w:spacing w:before="120" w:line="288" w:lineRule="auto"/>
        <w:ind w:firstLine="720"/>
        <w:jc w:val="both"/>
        <w:rPr>
          <w:spacing w:val="-6"/>
          <w:lang w:val="vi-VN"/>
        </w:rPr>
      </w:pPr>
      <w:r w:rsidRPr="00F4243B">
        <w:rPr>
          <w:lang w:val="vi-VN"/>
        </w:rPr>
        <w:t xml:space="preserve">- </w:t>
      </w:r>
      <w:r w:rsidR="00EA2F74" w:rsidRPr="00F4243B">
        <w:rPr>
          <w:lang w:val="vi-VN"/>
        </w:rPr>
        <w:t>Cải cách thủ tục hành chính đã có bước chuyển căn bản sang phươn</w:t>
      </w:r>
      <w:r w:rsidRPr="00F4243B">
        <w:rPr>
          <w:lang w:val="vi-VN"/>
        </w:rPr>
        <w:t>g thức dựa trên dữ liệu.</w:t>
      </w:r>
      <w:r w:rsidRPr="00F4243B">
        <w:rPr>
          <w:spacing w:val="-6"/>
          <w:lang w:val="vi-VN"/>
        </w:rPr>
        <w:t xml:space="preserve"> </w:t>
      </w:r>
      <w:r w:rsidRPr="00F4243B">
        <w:rPr>
          <w:spacing w:val="-2"/>
          <w:lang w:val="vi-VN"/>
        </w:rPr>
        <w:t>Chính phủ đã ban hành Nghị quyết số 66.7/2025/NQ-CP cắt giảm, đơn giản hóa TTHC dựa trên dữ liệu, thay thế hoặc cắt giảm thành phần hồ sơ trong 794 TTHC bằng việc khai thác hoặc sử dụng thông tin tương ứng từ các CSDL quốc gia, CSDL chuyên ngành</w:t>
      </w:r>
      <w:r w:rsidRPr="00F4243B">
        <w:rPr>
          <w:rStyle w:val="FootnoteReference"/>
          <w:spacing w:val="-2"/>
        </w:rPr>
        <w:footnoteReference w:id="5"/>
      </w:r>
      <w:r w:rsidRPr="00F4243B">
        <w:rPr>
          <w:spacing w:val="-2"/>
          <w:lang w:val="vi-VN"/>
        </w:rPr>
        <w:t xml:space="preserve"> và quy định mở rộng việc áp dụng sang các TTHC khác khi dữ liệu được xây dựng và đủ điều kiện được khai thác và sử dụng.</w:t>
      </w:r>
    </w:p>
    <w:p w14:paraId="1FC84782" w14:textId="5FC2BE25" w:rsidR="005D1959" w:rsidRPr="00F4243B" w:rsidRDefault="00C50FD9" w:rsidP="00F4243B">
      <w:pPr>
        <w:spacing w:before="120" w:line="288" w:lineRule="auto"/>
        <w:ind w:firstLine="720"/>
        <w:jc w:val="both"/>
        <w:rPr>
          <w:spacing w:val="-2"/>
          <w:lang w:val="vi-VN"/>
        </w:rPr>
      </w:pPr>
      <w:r w:rsidRPr="00F4243B">
        <w:rPr>
          <w:spacing w:val="-6"/>
          <w:lang w:val="vi-VN"/>
        </w:rPr>
        <w:t xml:space="preserve">Thực hiện Đề án 06, trên cơ sở kết nối, chia sẻ Cơ sở dữ liệu quốc gia về dân cư, đã cắt giảm, đơn giản hóa 1.033/1.084 TTHC, giấy tờ công dân liên quan đến quản lý dân cư tại 297 văn bản QPPL (đạt 95%). </w:t>
      </w:r>
      <w:r w:rsidRPr="00F4243B">
        <w:rPr>
          <w:spacing w:val="-2"/>
          <w:lang w:val="vi-VN"/>
        </w:rPr>
        <w:t>Đề án 06 đã góp phần tạo bước chuyển căn bản trong cải cách hành chính, xây dựng nền hành chính phục vụ, công khai, minh bạch và lấy người dân làm trung tâm</w:t>
      </w:r>
      <w:r w:rsidRPr="00F4243B">
        <w:rPr>
          <w:rStyle w:val="FootnoteReference"/>
          <w:bCs/>
          <w:lang w:val="es-MX"/>
        </w:rPr>
        <w:footnoteReference w:id="6"/>
      </w:r>
      <w:r w:rsidRPr="00F4243B">
        <w:rPr>
          <w:lang w:val="vi-VN"/>
        </w:rPr>
        <w:t xml:space="preserve">; </w:t>
      </w:r>
      <w:r w:rsidRPr="00F4243B">
        <w:rPr>
          <w:spacing w:val="-2"/>
          <w:lang w:val="vi-VN"/>
        </w:rPr>
        <w:t>đã khẳng định vai trò hình mẫu tiên phong của Việt Nam trong chuyển đổi số khu vực công, góp phần thực hiện hiệu quả mục tiêu Nghị quyết số 57-NQ/TW của Bộ Chính trị về đột phá phát triển khoa học, công nghệ, đổi mới sáng tạo và chuyển đổi số quốc gia</w:t>
      </w:r>
      <w:r w:rsidRPr="00F4243B">
        <w:rPr>
          <w:rStyle w:val="FootnoteReference"/>
        </w:rPr>
        <w:footnoteReference w:id="7"/>
      </w:r>
      <w:r w:rsidRPr="00F4243B">
        <w:rPr>
          <w:spacing w:val="-2"/>
          <w:lang w:val="vi-VN"/>
        </w:rPr>
        <w:t>.</w:t>
      </w:r>
    </w:p>
    <w:p w14:paraId="4D05886D" w14:textId="5534CF66" w:rsidR="0043743F" w:rsidRPr="00F4243B" w:rsidRDefault="0043743F" w:rsidP="00F4243B">
      <w:pPr>
        <w:spacing w:before="120" w:line="288" w:lineRule="auto"/>
        <w:ind w:firstLine="720"/>
        <w:jc w:val="both"/>
        <w:rPr>
          <w:spacing w:val="-2"/>
        </w:rPr>
      </w:pPr>
      <w:r w:rsidRPr="00F4243B">
        <w:rPr>
          <w:spacing w:val="-2"/>
        </w:rPr>
        <w:lastRenderedPageBreak/>
        <w:t xml:space="preserve"> </w:t>
      </w:r>
      <w:r w:rsidRPr="00F4243B">
        <w:t>- Năm 2026, triển khai Kết luận số 18-KL/TW của Ban Chấp hành Trung ương, Chính phủ và Thủ tướng Chính phủ đã chỉ đạo quyết liệt, đồng bộ các bộ, ngành, địa phương tập trung rà soát, đề xuất và thực hiện các giải pháp cải cách thể chế, thủ tục hành chính (TTHC), phân quyền, phân cấp và cải thiện môi trường đầu tư kinh doanh. Chỉ trong hơn một tháng triển khai (từ ngày 15/4/2026 đến ngày 19/5/2026), Chính phủ đã ban hành 11 Nghị quyết về phân quyền, phân cấp, cắt giảm, đơn giản hóa TTHC, điều kiện kinh doanh (ĐKKD), ngành, nghề đầu tư kinh doanh có điều kiện; đồng thời các bộ, cơ quan ngang bộ đã ban hành 16 thông tư để tổ chức thực hiện. Kết quả, tỷ lệ TTHC thuộc thẩm quyền giải quyết của cấp bộ đã giảm xuống còn 28,5%, bảo đảm đạt mục tiêu cấp bộ chỉ thực hiện không quá 30% tổng số TTHC thuộc phạm vi quản lý. Cùng với đó, đã bãi bỏ 56 ngành, nghề đầu tư kinh doanh có điều kiện và sửa đổi 14 ngành, nghề, tương ứng cắt giảm hơn 28% số ngành, nghề đầu tư kinh doanh có điều kiện theo Luật Đầu tư năm 2025 và đạt mức cắt giảm 40% so với Luật Đầu tư năm 2020. Các bộ, ngành cũng đã thực hiện phân cấp 362 TTHC, cắt giảm 697 TTHC, đơn giản hóa 673 TTHC và bãi bỏ 1.754 ĐKKD không cần thiết. Đến nay, thời gian giải quyết TTHC đã được cắt giảm 53%, chi phí tuân thủ TTHC giảm 54,6% so với năm 2024; riêng các phương án cải cách tại 11 Nghị quyết của Chính phủ dự kiến giúp tiết kiệm khoảng 23 nghìn tỷ đồng chi phí tuân thủ mỗi năm cho người dân và doanh nghiệp. Qua đó, các bộ, ngành cơ bản hoàn thành các mục tiêu, chỉ tiêu cải cách theo yêu cầu của Kết luận số 18-KL/TW, góp phần cải thiện môi trường đầu tư kinh doanh, nâng cao hiệu lực, hiệu quả quản lý nhà nước và tạo động lực thúc đẩy tăng trưởng kinh tế.</w:t>
      </w:r>
    </w:p>
    <w:p w14:paraId="615A99DB" w14:textId="77777777" w:rsidR="00EE39C2" w:rsidRPr="00F4243B" w:rsidRDefault="00EA2F74" w:rsidP="00F4243B">
      <w:pPr>
        <w:pStyle w:val="NormalWeb"/>
        <w:spacing w:before="120" w:beforeAutospacing="0" w:after="0" w:afterAutospacing="0" w:line="288" w:lineRule="auto"/>
        <w:ind w:firstLine="720"/>
        <w:jc w:val="both"/>
        <w:rPr>
          <w:b/>
          <w:i/>
          <w:sz w:val="28"/>
          <w:szCs w:val="28"/>
          <w:lang w:val="vi-VN"/>
        </w:rPr>
      </w:pPr>
      <w:r w:rsidRPr="00F4243B">
        <w:rPr>
          <w:b/>
          <w:i/>
          <w:sz w:val="28"/>
          <w:szCs w:val="28"/>
          <w:lang w:val="vi-VN"/>
        </w:rPr>
        <w:t>c) Tổ chức thực hiện thủ tục hành chính</w:t>
      </w:r>
    </w:p>
    <w:p w14:paraId="6BCD63E9" w14:textId="77777777" w:rsidR="00EE39C2" w:rsidRPr="00F4243B" w:rsidRDefault="00EA2F74"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Cùng với cải cách ở khâu ban hành và hoàn thiện thể chế, việc tổ chức thực hiện thủ tục hành chính tiếp tục được đổi mới mạnh mẽ theo hướng hiện đại, số hóa và không phụ thuộc địa giới hành chính. Cổng Dịch vụ công quốc gia từng bước được hoàn thiện, trở thành điểm truy cập tập trung, thống nhất cho người dân và doanh nghiệp trong thực hiện thủ tục hành chính, với hàng nghìn thủ tục đã được tích hợp, cung cấp trực tuyến. Hệ thống này đã kết nối, liên thông với toàn bộ hệ thống giải quyết thủ tục hành chính của các địa phương và nhiều cơ sở dữ liệu quốc gia, chuyên ngành, cho phép người dân sử dụng định danh điện tử để thực hiện dịch vụ công trực tuyến một cách thuận tiện, không cần tiếp xúc trực tiếp với cơ quan nhà nước.</w:t>
      </w:r>
    </w:p>
    <w:p w14:paraId="417EDD6D" w14:textId="77777777" w:rsidR="00EE39C2" w:rsidRPr="00F4243B" w:rsidRDefault="00C50FD9" w:rsidP="00F4243B">
      <w:pPr>
        <w:pStyle w:val="NormalWeb"/>
        <w:spacing w:before="120" w:beforeAutospacing="0" w:after="0" w:afterAutospacing="0" w:line="288" w:lineRule="auto"/>
        <w:ind w:firstLine="720"/>
        <w:jc w:val="both"/>
        <w:rPr>
          <w:spacing w:val="-2"/>
          <w:sz w:val="28"/>
          <w:szCs w:val="28"/>
          <w:lang w:val="vi-VN"/>
        </w:rPr>
      </w:pPr>
      <w:r w:rsidRPr="00F4243B">
        <w:rPr>
          <w:spacing w:val="-2"/>
          <w:sz w:val="28"/>
          <w:szCs w:val="28"/>
          <w:lang w:val="vi-VN"/>
        </w:rPr>
        <w:t xml:space="preserve">Nghị định số 118/2025/NĐ-CP đã thể chế hóa việc thực hiện TTHC không phụ thuộc địa giới hành chính, quy định Cổng Dịch vụ công quốc gia là điểm một cửa số duy nhất. Trung tâm Phục vụ hành chính công cấp tỉnh, cấp xã của 34 tỉnh, </w:t>
      </w:r>
      <w:r w:rsidRPr="00F4243B">
        <w:rPr>
          <w:spacing w:val="-2"/>
          <w:sz w:val="28"/>
          <w:szCs w:val="28"/>
          <w:lang w:val="vi-VN"/>
        </w:rPr>
        <w:lastRenderedPageBreak/>
        <w:t>thành phố đã vận hành theo mô hình chính quyền địa phương 2 cấp, có 32/34 địa phương đã thành lập 3.139 Trung tâm Phục vụ hành chính công cấp xã; Hà Nội và Quảng Ninh vận hành theo mô hình Trung tâm Phục vụ hành chính công một cấp.</w:t>
      </w:r>
    </w:p>
    <w:p w14:paraId="3B017B22" w14:textId="77777777" w:rsidR="00EE39C2" w:rsidRPr="00F4243B" w:rsidRDefault="00C50FD9" w:rsidP="00F4243B">
      <w:pPr>
        <w:pStyle w:val="NormalWeb"/>
        <w:spacing w:before="120" w:beforeAutospacing="0" w:after="0" w:afterAutospacing="0" w:line="288" w:lineRule="auto"/>
        <w:ind w:firstLine="720"/>
        <w:jc w:val="both"/>
        <w:rPr>
          <w:b/>
          <w:i/>
          <w:sz w:val="28"/>
          <w:szCs w:val="28"/>
          <w:lang w:val="vi-VN"/>
        </w:rPr>
      </w:pPr>
      <w:r w:rsidRPr="00F4243B">
        <w:rPr>
          <w:spacing w:val="-2"/>
          <w:sz w:val="28"/>
          <w:szCs w:val="28"/>
          <w:lang w:val="vi-VN"/>
        </w:rPr>
        <w:t>Cổng Dịch vụ công quốc gia đã công khai 5.732 TTHC (5.337 TTHC do trung ương</w:t>
      </w:r>
      <w:r w:rsidRPr="00F4243B">
        <w:rPr>
          <w:rStyle w:val="FootnoteReference"/>
          <w:spacing w:val="-2"/>
          <w:sz w:val="28"/>
          <w:szCs w:val="28"/>
        </w:rPr>
        <w:footnoteReference w:id="8"/>
      </w:r>
      <w:r w:rsidRPr="00F4243B">
        <w:rPr>
          <w:spacing w:val="-2"/>
          <w:sz w:val="28"/>
          <w:szCs w:val="28"/>
          <w:lang w:val="vi-VN"/>
        </w:rPr>
        <w:t xml:space="preserve"> ban hành và 395 TTHC do địa phương</w:t>
      </w:r>
      <w:r w:rsidRPr="00F4243B">
        <w:rPr>
          <w:rStyle w:val="FootnoteReference"/>
          <w:spacing w:val="-2"/>
          <w:sz w:val="28"/>
          <w:szCs w:val="28"/>
        </w:rPr>
        <w:footnoteReference w:id="9"/>
      </w:r>
      <w:r w:rsidRPr="00F4243B">
        <w:rPr>
          <w:spacing w:val="-2"/>
          <w:sz w:val="28"/>
          <w:szCs w:val="28"/>
          <w:lang w:val="vi-VN"/>
        </w:rPr>
        <w:t xml:space="preserve"> ban hành); đã kết nối, tích hợp với 151 hệ thống thông tin, cơ sở dữ liệu (CSDL) của các cơ quan, đơn vị, trong đó đã kết nối thông suốt với 34/34 Hệ thống thông tin giải quyết TTHC cấp tỉnh, đáp ứng yêu cầu triển khai mô hình chính quyền địa phương 02 cấp; có 4.788 TTHC đã tích hợp, cung cấp dịch vụ công trực tuyến. Người dân có thể sử dụng tài khoản VNeID để đăng nhập, thực hiện dịch vụ công trực tuyến, không phải tiếp xúc với cơ quan nhà nước, có thể thực hiện các TTHC ở bất cứ đâu với mức phí, lệ phí ưu đãi.</w:t>
      </w:r>
    </w:p>
    <w:p w14:paraId="1E575D17" w14:textId="77777777" w:rsidR="00EA2F74" w:rsidRPr="00F4243B" w:rsidRDefault="00EA2F74" w:rsidP="00F4243B">
      <w:pPr>
        <w:pStyle w:val="NormalWeb"/>
        <w:spacing w:before="120" w:beforeAutospacing="0" w:after="0" w:afterAutospacing="0" w:line="288" w:lineRule="auto"/>
        <w:ind w:firstLine="720"/>
        <w:jc w:val="both"/>
        <w:rPr>
          <w:b/>
          <w:i/>
          <w:sz w:val="28"/>
          <w:szCs w:val="28"/>
          <w:lang w:val="vi-VN"/>
        </w:rPr>
      </w:pPr>
      <w:r w:rsidRPr="00F4243B">
        <w:rPr>
          <w:sz w:val="28"/>
          <w:szCs w:val="28"/>
          <w:lang w:val="vi-VN"/>
        </w:rPr>
        <w:t>Bên cạnh đó, công tác giám sát, đánh giá việc thực hiện thủ tục hành chính có bước tiến quan trọng khi từng bước chuyển sang phương thức dựa trên dữ liệu theo thời gian thực. Bộ chỉ số đánh giá chất lượng phục vụ người dân, doanh nghiệp trong thực hiện thủ tục hành chính và cung cấp dịch vụ công được triển khai trên môi trường điện tử đã giúp các cơ quan quản lý kịp thời phát hiện các điểm nghẽn, nâng cao kỷ luật, kỷ cương hành chính và trách nhiệm giải trình trong thực thi công vụ.</w:t>
      </w:r>
    </w:p>
    <w:p w14:paraId="189AFB6C" w14:textId="77777777" w:rsidR="00EA2F74" w:rsidRPr="00F4243B" w:rsidRDefault="00EA2F74"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Ngoài ra, cơ chế điều phối, chỉ đạo cải cách thủ tục hành chính tiếp tục được tăng cường thông qua việc kiện toàn các thiết chế như Tổ công tác, Hội đồng tư vấn cải cách thủ tục hành chính và Ban Chỉ đạo của Chính phủ về cải cách thủ tục hành chính và phân cấp, phân quyền. Các cơ chế này đã phát huy vai trò trong việc tháo gỡ khó khăn, vướng mắc, thúc đẩy thực hiện các nhiệm vụ cải cách một cách kịp thời, đồng bộ và hiệu quả, đồng thời huy động sự tham gia của cộng đồng doanh nghiệp và xã hội vào quá trình cải cách.</w:t>
      </w:r>
    </w:p>
    <w:p w14:paraId="0CAC1D54" w14:textId="77777777" w:rsidR="00CE725A" w:rsidRPr="00F4243B" w:rsidRDefault="00EA2F74"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 xml:space="preserve">Tổng thể, các kết quả đạt được trong giai đoạn 2021–2026 cho thấy công tác cải cách thủ tục hành chính đã có bước chuyển từ cải cách mang tính cục bộ, hành chính sang cải cách mang tính hệ thống, dựa trên dữ liệu và công nghệ, góp phần quan trọng vào việc xây dựng nền hành chính phục vụ, hiện đại, minh bạch </w:t>
      </w:r>
      <w:r w:rsidRPr="00F4243B">
        <w:rPr>
          <w:sz w:val="28"/>
          <w:szCs w:val="28"/>
          <w:lang w:val="vi-VN"/>
        </w:rPr>
        <w:lastRenderedPageBreak/>
        <w:t>và hiệu quả, đáp ứng ngày càng tốt hơn yêu cầu của người dân, doanh nghiệp và sự phát triển của nền kinh tế.</w:t>
      </w:r>
    </w:p>
    <w:p w14:paraId="41EDD0BE" w14:textId="77777777" w:rsidR="007115AE" w:rsidRPr="00F4243B" w:rsidRDefault="003512F8" w:rsidP="00F4243B">
      <w:pPr>
        <w:widowControl w:val="0"/>
        <w:spacing w:before="120" w:line="288" w:lineRule="auto"/>
        <w:ind w:firstLine="720"/>
        <w:jc w:val="both"/>
        <w:rPr>
          <w:b/>
          <w:lang w:val="vi-VN"/>
        </w:rPr>
      </w:pPr>
      <w:r w:rsidRPr="00F4243B">
        <w:rPr>
          <w:b/>
          <w:lang w:val="vi-VN"/>
        </w:rPr>
        <w:t xml:space="preserve">II. </w:t>
      </w:r>
      <w:r w:rsidR="007115AE" w:rsidRPr="00F4243B">
        <w:rPr>
          <w:b/>
          <w:lang w:val="vi-VN"/>
        </w:rPr>
        <w:t>ĐÁNH GIÁ</w:t>
      </w:r>
    </w:p>
    <w:p w14:paraId="5B6DEFD3" w14:textId="77777777" w:rsidR="007115AE" w:rsidRPr="00F4243B" w:rsidRDefault="007115AE" w:rsidP="00F4243B">
      <w:pPr>
        <w:pStyle w:val="NormalWeb"/>
        <w:spacing w:before="120" w:beforeAutospacing="0" w:after="0" w:afterAutospacing="0" w:line="288" w:lineRule="auto"/>
        <w:ind w:firstLine="720"/>
        <w:jc w:val="both"/>
        <w:rPr>
          <w:b/>
          <w:sz w:val="28"/>
          <w:szCs w:val="28"/>
          <w:lang w:val="vi-VN"/>
        </w:rPr>
      </w:pPr>
      <w:r w:rsidRPr="00F4243B">
        <w:rPr>
          <w:b/>
          <w:sz w:val="28"/>
          <w:szCs w:val="28"/>
          <w:lang w:val="vi-VN"/>
        </w:rPr>
        <w:t>1. Kết quả đạt được</w:t>
      </w:r>
    </w:p>
    <w:p w14:paraId="23965396" w14:textId="77777777" w:rsidR="00EE39C2" w:rsidRPr="00F4243B" w:rsidRDefault="00EE39C2"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Trong bối cảnh yêu cầu phát triển nhanh và bền vững, cùng với áp lực nâng cao năng lực cạnh tranh quốc gia và cải thiện môi trường đầu tư kinh doanh theo các chuẩn mực khu vực và quốc tế, công tác cải cách thủ tục hành chính thời gian qua đã đạt được những kết quả quan trọng, mang tính nền tảng và có ý nghĩa chuyển đổi.</w:t>
      </w:r>
    </w:p>
    <w:p w14:paraId="23A37615" w14:textId="275F42B4" w:rsidR="00846A7E" w:rsidRPr="00F4243B" w:rsidRDefault="00F462B6" w:rsidP="00F4243B">
      <w:pPr>
        <w:spacing w:before="120" w:line="288" w:lineRule="auto"/>
        <w:ind w:firstLine="720"/>
        <w:jc w:val="both"/>
        <w:rPr>
          <w:lang w:val="vi-VN"/>
        </w:rPr>
      </w:pPr>
      <w:r w:rsidRPr="00F4243B">
        <w:rPr>
          <w:b/>
          <w:i/>
          <w:lang w:val="vi-VN"/>
        </w:rPr>
        <w:t>T</w:t>
      </w:r>
      <w:r w:rsidRPr="00F4243B">
        <w:rPr>
          <w:b/>
          <w:i/>
        </w:rPr>
        <w:t>hứ nhất</w:t>
      </w:r>
      <w:r w:rsidR="00846A7E" w:rsidRPr="00F4243B">
        <w:rPr>
          <w:lang w:val="vi-VN"/>
        </w:rPr>
        <w:t>, nếu nhìn trong tiến trình phát triển thể chế, có thể khẳng định rằng giai đoạn ban hành và triển khai Nghị định số 63/2010/NĐ-CP đánh dấu một bước chuyển căn bản so với giai đoạn Đề án 30 trước đó. Nếu như Đề án 30 (2007–2010) là giai đoạn “lần đầu tiên” Nhà nước thực hiện tổng rà soát, công bố và chuẩn hóa thủ tục hành chính trên phạm vi toàn quốc – mang tính khai phá, tập trung xử lý khối lượng tồn đọng và thiết lập bức tranh tổng thể về hệ thống thủ tục – thì giai đoạn sau khi Nghị định 63 là bước kế tục theo chiều sâu, chuyển hóa kết quả cải cách thành một cơ chế  kiểm soát mang tính thể chế, vận hành thường xuyên và gắn với dòng chảy của hệ thống pháp luật.</w:t>
      </w:r>
    </w:p>
    <w:p w14:paraId="50F5D48D" w14:textId="77777777" w:rsidR="00846A7E" w:rsidRPr="00F4243B" w:rsidRDefault="00846A7E" w:rsidP="00F4243B">
      <w:pPr>
        <w:spacing w:before="120" w:line="288" w:lineRule="auto"/>
        <w:ind w:firstLine="720"/>
        <w:jc w:val="both"/>
        <w:rPr>
          <w:lang w:val="vi-VN"/>
        </w:rPr>
      </w:pPr>
      <w:r w:rsidRPr="00F4243B">
        <w:rPr>
          <w:lang w:val="vi-VN"/>
        </w:rPr>
        <w:t>Trên nền tảng đó, Nghị định số 63/2010/NĐ-CP đã tạo ra bước chuyển từ cải cách theo đợt sang quản lý theo nghiệp vụ thường xuyên, liên tục. Lần đầu tiên, hoạt động kiểm soát thủ tục hành chính được thiết kế thành một quy trình khép kín bao gồm đánh giá tác động , thẩm định, công bố, rà soát thủ tục và tiếp nhận phản ánh, kiến nghị về thủ tục hành chính. Đặc biệt, cơ chế công bố, công khai thủ tục hành chính thành nhiệm vụ định kỳ, thường xuyên gắn với vòng đời của văn bản quy phạm pháp luật.</w:t>
      </w:r>
    </w:p>
    <w:p w14:paraId="393048D8" w14:textId="51498A1F" w:rsidR="00DF39C9" w:rsidRPr="00F4243B" w:rsidRDefault="00846A7E" w:rsidP="00F4243B">
      <w:pPr>
        <w:spacing w:before="120" w:line="288" w:lineRule="auto"/>
        <w:ind w:firstLine="720"/>
        <w:jc w:val="both"/>
        <w:rPr>
          <w:lang w:val="vi-VN"/>
        </w:rPr>
      </w:pPr>
      <w:r w:rsidRPr="00F4243B">
        <w:rPr>
          <w:lang w:val="vi-VN"/>
        </w:rPr>
        <w:t xml:space="preserve">Trong giai đoạn này, các bộ, ngành đã chủ động ban hành quyết định công bố thủ tục hành chính thuộc phạm vi quản lý theo định kỳ và kịp thời cập nhật thường xuyên khi có sự thay đổi về pháp lý; các địa phương thực hiện công bố danh mục thủ tục áp dụng trên địa bàn trên cơ sở thống nhất với công bố của bộ, qua đó bảo đảm tính đồng bộ, minh bạch trong toàn hệ thống. </w:t>
      </w:r>
      <w:r w:rsidR="00DF39C9" w:rsidRPr="00F4243B">
        <w:rPr>
          <w:lang w:val="vi-VN"/>
        </w:rPr>
        <w:t>Có thể thấy, nếu Đề án 30 đóng vai trò là bước “khởi tạo và làm sạch” hệ thống thủ tục hành chính, thì giai đoạn sau khi ban hành Nghị định 63 chính là bước “duy trì và vận hành hệ thống” trên cơ sở thể chế hóa. Sự chuyển đổi này không chỉ giúp duy trì kết quả cải cách đã đạt được mà còn từng bước thiết lập kỷ luật, kỷ cương trong việc xây dựng và thực thi thủ tục hành chính, qua đó đưa kiểm soát thủ tục hành chính trở thành một cơ chế quản trị bền vững,</w:t>
      </w:r>
    </w:p>
    <w:p w14:paraId="29A2D031" w14:textId="6DA282A4" w:rsidR="00CE3782" w:rsidRPr="00F4243B" w:rsidRDefault="00CE3782" w:rsidP="00F4243B">
      <w:pPr>
        <w:pStyle w:val="NormalWeb"/>
        <w:spacing w:before="120" w:beforeAutospacing="0" w:after="0" w:afterAutospacing="0" w:line="288" w:lineRule="auto"/>
        <w:ind w:firstLine="720"/>
        <w:jc w:val="both"/>
        <w:rPr>
          <w:sz w:val="28"/>
          <w:szCs w:val="28"/>
          <w:lang w:val="vi-VN"/>
        </w:rPr>
      </w:pPr>
      <w:r w:rsidRPr="00F4243B">
        <w:rPr>
          <w:b/>
          <w:i/>
          <w:sz w:val="28"/>
          <w:szCs w:val="28"/>
          <w:lang w:val="vi-VN"/>
        </w:rPr>
        <w:lastRenderedPageBreak/>
        <w:t>Thứ hai,</w:t>
      </w:r>
      <w:r w:rsidRPr="00F4243B">
        <w:rPr>
          <w:sz w:val="28"/>
          <w:szCs w:val="28"/>
          <w:lang w:val="vi-VN"/>
        </w:rPr>
        <w:t xml:space="preserve"> về kết quả thực chất, công tác cắt giảm, đơn giản hóa thủ tục hành chính và điều kiện kinh doanh đã đạt được những chuyển biến rõ nét cả về quy mô lẫn chiều sâu tác động. Nếu như giai đoạn trước đây chủ yếu thiên về rà soát, đơn giản hóa </w:t>
      </w:r>
      <w:r w:rsidRPr="00F4243B">
        <w:rPr>
          <w:bCs/>
          <w:sz w:val="28"/>
          <w:szCs w:val="28"/>
          <w:lang w:val="vi-VN"/>
        </w:rPr>
        <w:t>từng thủ tục hành chính đơn lẻ</w:t>
      </w:r>
      <w:r w:rsidRPr="00F4243B">
        <w:rPr>
          <w:sz w:val="28"/>
          <w:szCs w:val="28"/>
          <w:lang w:val="vi-VN"/>
        </w:rPr>
        <w:t xml:space="preserve">, thì giai đoạn gần đây đã có bước phát triển quan trọng khi chuyển sang </w:t>
      </w:r>
      <w:r w:rsidRPr="00F4243B">
        <w:rPr>
          <w:bCs/>
          <w:sz w:val="28"/>
          <w:szCs w:val="28"/>
          <w:lang w:val="vi-VN"/>
        </w:rPr>
        <w:t>cách tiếp cận theo chuỗi</w:t>
      </w:r>
      <w:r w:rsidRPr="00F4243B">
        <w:rPr>
          <w:sz w:val="28"/>
          <w:szCs w:val="28"/>
          <w:lang w:val="vi-VN"/>
        </w:rPr>
        <w:t>. Điều này thể hiện rõ qua việc ban hành và triển khai các quy trình liên thông như: đăng ký khai sinh – đăng ký thường trú – cấp thẻ bảo hiểm y tế; hay khai tử – xóa đăng ký thường trú – giải quyết chế độ tử tuất, qua đó giảm đáng kể số lần đi lại, hồ sơ và thời gian thực hiện cho người dân.</w:t>
      </w:r>
    </w:p>
    <w:p w14:paraId="6619C1A3" w14:textId="77777777" w:rsidR="00CE3782" w:rsidRPr="00F4243B" w:rsidRDefault="00CE3782"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 xml:space="preserve">Cùng với đó, phạm vi cải cách cũng được mở rộng một cách có hệ thống. Bên cạnh rà soát thủ tục hành chính nói chung, trọng tâm đã chuyển mạnh sang </w:t>
      </w:r>
      <w:r w:rsidRPr="00F4243B">
        <w:rPr>
          <w:bCs/>
          <w:sz w:val="28"/>
          <w:szCs w:val="28"/>
          <w:lang w:val="vi-VN"/>
        </w:rPr>
        <w:t>các lĩnh vực tác động trực tiếp đến môi trường kinh doanh</w:t>
      </w:r>
      <w:r w:rsidRPr="00F4243B">
        <w:rPr>
          <w:sz w:val="28"/>
          <w:szCs w:val="28"/>
          <w:lang w:val="vi-VN"/>
        </w:rPr>
        <w:t xml:space="preserve">, bao gồm điều kiện kinh doanh, kiểm tra chuyên ngành đối với hàng hóa xuất nhập khẩu, cũng như các thủ tục liên quan đến hoạt động sản xuất, kinh doanh. Đồng thời, công tác rà soát còn được mở rộng sang </w:t>
      </w:r>
      <w:r w:rsidRPr="00F4243B">
        <w:rPr>
          <w:bCs/>
          <w:sz w:val="28"/>
          <w:szCs w:val="28"/>
          <w:lang w:val="vi-VN"/>
        </w:rPr>
        <w:t>phân cấp giải quyết thủ tục hành chính</w:t>
      </w:r>
      <w:r w:rsidRPr="00F4243B">
        <w:rPr>
          <w:sz w:val="28"/>
          <w:szCs w:val="28"/>
          <w:lang w:val="vi-VN"/>
        </w:rPr>
        <w:t xml:space="preserve"> và </w:t>
      </w:r>
      <w:r w:rsidRPr="00F4243B">
        <w:rPr>
          <w:bCs/>
          <w:sz w:val="28"/>
          <w:szCs w:val="28"/>
          <w:lang w:val="vi-VN"/>
        </w:rPr>
        <w:t>thủ tục hành chính nội bộ</w:t>
      </w:r>
      <w:r w:rsidRPr="00F4243B">
        <w:rPr>
          <w:sz w:val="28"/>
          <w:szCs w:val="28"/>
          <w:lang w:val="vi-VN"/>
        </w:rPr>
        <w:t>, qua đó không chỉ giảm gánh nặng cho người dân, doanh nghiệp mà còn nâng cao hiệu quả vận hành trong nội bộ bộ máy hành chính.</w:t>
      </w:r>
    </w:p>
    <w:p w14:paraId="05268241" w14:textId="77777777" w:rsidR="00CE3782" w:rsidRPr="00F4243B" w:rsidRDefault="00CE3782"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 xml:space="preserve">Đáng chú ý, cải cách trong giai đoạn này không chỉ dừng ở việc cắt giảm về số lượng mà đã chuyển sang </w:t>
      </w:r>
      <w:r w:rsidRPr="00F4243B">
        <w:rPr>
          <w:bCs/>
          <w:sz w:val="28"/>
          <w:szCs w:val="28"/>
          <w:lang w:val="vi-VN"/>
        </w:rPr>
        <w:t>tối ưu hóa cấu trúc và chi phí thực chất của thủ tục</w:t>
      </w:r>
      <w:r w:rsidRPr="00F4243B">
        <w:rPr>
          <w:sz w:val="28"/>
          <w:szCs w:val="28"/>
          <w:lang w:val="vi-VN"/>
        </w:rPr>
        <w:t>, gắn với mục tiêu giảm chi phí tuân thủ một cách thực chất và bền vững. Chính sự chuyển dịch từ tiếp cận “đơn lẻ” sang “hệ thống”, từ “cắt giảm hình thức” sang “tối ưu hóa thực chất” đã góp phần cải thiện niềm tin thị trường, tạo thuận lợi hơn cho hoạt động đầu tư, sản xuất kinh doanh và nâng cao chất lượng môi trường kinh doanh nói chung.</w:t>
      </w:r>
    </w:p>
    <w:p w14:paraId="39DBF549" w14:textId="7B380FF1" w:rsidR="00FB2A53" w:rsidRPr="00F4243B" w:rsidRDefault="00FB2A53" w:rsidP="00F4243B">
      <w:pPr>
        <w:pStyle w:val="NormalWeb"/>
        <w:spacing w:before="120" w:beforeAutospacing="0" w:after="0" w:afterAutospacing="0" w:line="288" w:lineRule="auto"/>
        <w:ind w:firstLine="720"/>
        <w:jc w:val="both"/>
        <w:rPr>
          <w:sz w:val="28"/>
          <w:szCs w:val="28"/>
          <w:lang w:val="vi-VN"/>
        </w:rPr>
      </w:pPr>
      <w:r w:rsidRPr="00F4243B">
        <w:rPr>
          <w:b/>
          <w:i/>
          <w:sz w:val="28"/>
          <w:szCs w:val="28"/>
          <w:lang w:val="vi-VN"/>
        </w:rPr>
        <w:t>Thứ ba,</w:t>
      </w:r>
      <w:r w:rsidRPr="00F4243B">
        <w:rPr>
          <w:sz w:val="28"/>
          <w:szCs w:val="28"/>
          <w:lang w:val="vi-VN"/>
        </w:rPr>
        <w:t xml:space="preserve"> việc thực hiện đánh giá tác động các quy định về thủ tục hành chính (TTHC) đối với dự án, dự thảo văn bản quy phạm pháp luật tại các bộ, ngành, địa phương ngày càng đi vào nền nếp, đặc biệt sau khi được thể chế hóa tại và Nghị định số 63/2010/NĐ-CP</w:t>
      </w:r>
      <w:r w:rsidR="00F462B6" w:rsidRPr="00F4243B">
        <w:rPr>
          <w:sz w:val="28"/>
          <w:szCs w:val="28"/>
          <w:lang w:val="vi-VN"/>
        </w:rPr>
        <w:t xml:space="preserve"> và Luật Ban hành văn bản QPPL</w:t>
      </w:r>
      <w:r w:rsidRPr="00F4243B">
        <w:rPr>
          <w:sz w:val="28"/>
          <w:szCs w:val="28"/>
          <w:lang w:val="vi-VN"/>
        </w:rPr>
        <w:t>. Hoạt động này từng bước được triển khai đồng bộ, có sự tham gia của cả cơ quan chủ trì soạn thảo và hệ thống pháp chế, tư pháp, qua đó hình thành một “lớp lọc kỹ thuật” ngay trong quá trình xây dựng chính sách và soạn thảo văn bản quy phạm pháp luật.</w:t>
      </w:r>
    </w:p>
    <w:p w14:paraId="465DC178" w14:textId="77777777" w:rsidR="00FB2A53" w:rsidRPr="00F4243B" w:rsidRDefault="00FB2A53"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 xml:space="preserve">Từ góc độ thể chế, có thể nhận định rằng công tác đánh giá tác động TTHC đã được gắn kết chặt chẽ và hữu cơ với quy trình xây dựng, ban hành văn bản quy phạm pháp luật, chuyển từ hoạt động mang tính hỗ trợ sang một khâu bắt buộc trong quy trình lập pháp, lập quy. Về bản chất, đây là sự nội luật hóa công cụ đánh giá tác động theo thông lệ quốc tế (RIA), tập trung xem xét các tiêu chí cốt lõi </w:t>
      </w:r>
      <w:r w:rsidRPr="00F4243B">
        <w:rPr>
          <w:sz w:val="28"/>
          <w:szCs w:val="28"/>
          <w:lang w:val="vi-VN"/>
        </w:rPr>
        <w:lastRenderedPageBreak/>
        <w:t>như sự cần thiết, tính hợp lý và chi phí tuân thủ thủ tục hành chính, với phương pháp tiếp cận ngày càng chuẩn hóa, dễ áp dụng (thông qua các biểu mẫu, bảng hỏi).</w:t>
      </w:r>
    </w:p>
    <w:p w14:paraId="3AC9300E" w14:textId="19199AB4" w:rsidR="009E1251" w:rsidRPr="00F4243B" w:rsidRDefault="00FB2A53"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Đáng chú ý, việc đánh giá tác động TTHC đối với dự thảo văn bản có quy định thủ tục hành chính đã trở thành yêu cầu “cứng” trong hồ sơ thẩm định, qua đó thiết lập cơ chế kiểm soát ngay từ đầu đối với việc hình thành thủ tục. Cơ chế này góp phần bảo đảm chỉ những TTHC thực sự cần thiết, hợp lý và có chi phí tuân thủ thấp nhất mới được ban hành, đồng thời hạn chế đáng kể xu hướng “cài cắm” hoặc mở rộng thủ tục một cách không kiểm soát. Qua đó, đánh giá tác động không chỉ là công cụ kỹ thuật mà đã trở thành thiết chế bảo đảm chất lượng quy định trong toàn bộ quá trình xây dựng văn bản quy phạm pháp luật.</w:t>
      </w:r>
    </w:p>
    <w:p w14:paraId="1E061EB1" w14:textId="6ECFF8F1" w:rsidR="00E24B61" w:rsidRPr="00F4243B" w:rsidRDefault="00E24B61" w:rsidP="00F4243B">
      <w:pPr>
        <w:pStyle w:val="NormalWeb"/>
        <w:spacing w:before="120" w:beforeAutospacing="0" w:after="0" w:afterAutospacing="0" w:line="288" w:lineRule="auto"/>
        <w:ind w:firstLine="720"/>
        <w:jc w:val="both"/>
        <w:rPr>
          <w:sz w:val="28"/>
          <w:szCs w:val="28"/>
          <w:lang w:val="vi-VN"/>
        </w:rPr>
      </w:pPr>
      <w:r w:rsidRPr="00F4243B">
        <w:rPr>
          <w:b/>
          <w:i/>
          <w:sz w:val="28"/>
          <w:szCs w:val="28"/>
          <w:lang w:val="vi-VN"/>
        </w:rPr>
        <w:t>Thứ tư</w:t>
      </w:r>
      <w:r w:rsidRPr="00F4243B">
        <w:rPr>
          <w:sz w:val="28"/>
          <w:szCs w:val="28"/>
          <w:lang w:val="vi-VN"/>
        </w:rPr>
        <w:t>, công tác tiếp nhận, xử lý phản ánh, kiến nghị về thủ tục hành chính trong thời gian qua có thể được đánh giá là đã có bước phát triển rõ nét. Việc thiết lập và vận hành đồng bộ các kênh tiếp nhận trên Cổng Thông tin điện tử Chính phủ và Cổng Dịch vụ công quốc gia đã tạo ra một hạ tầng thể chế mở, cho phép người dân và doanh nghiệp trực tiếp phản ánh những vướng mắc phát sinh trong thực tiễn thực hiện thủ tục hành chính.</w:t>
      </w:r>
    </w:p>
    <w:p w14:paraId="6BD42E76" w14:textId="1028B63D" w:rsidR="00E24B61" w:rsidRPr="00F4243B" w:rsidRDefault="00E24B61"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Trên cơ sở đó, hoạt động tiếp nhận và xử lý phản ánh, kiến nghị không chỉ dừng lại ở việc giải quyết các vụ việc cụ thể mà đã từng bước trở thành một cơ chế phản hồi chính sách. Thông qua khối lượng lớn các phản ánh được tiếp nhận và xử lý, Chính phủ và Thủ tướng Chính phủ có điều kiện nắm bắt kịp thời những “điểm nghẽn” trong quy định và tổ chức thực thi thủ tục hành chính, từ đó chỉ đạo tháo gỡ, chấn chỉnh, qua đó tăng cường kỷ luật, kỷ cương hành chính.</w:t>
      </w:r>
    </w:p>
    <w:p w14:paraId="46074D9E" w14:textId="77777777" w:rsidR="00E24B61" w:rsidRPr="00F4243B" w:rsidRDefault="00E24B61"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Đáng chú ý, cơ chế này được vận hành với sự đồng hành chặt chẽ của Hội đồng tư vấn cải cách thủ tục hành chính, qua đó mở rộng không gian tham gia của xã hội vào quá trình cải cách. Với thành phần là đại diện cộng đồng doanh nghiệp, hiệp hội và các tổ chức liên quan, Hội đồng không chỉ đóng vai trò cầu nối mà còn góp phần “chắt lọc” các kiến nghị có tính hệ thống, phản ánh những bất cập mang tính phổ biến của thể chế. Sự phối hợp giữa Tổ công tác cải cách TTHC và Hội đồng tư vấn đã tạo thành một cơ chế điều phối hai chiều: vừa tiếp nhận phản ánh từ thực tiễn, vừa chuyển hóa thành các kiến nghị chính sách cụ thể để chỉ đạo xử lý.</w:t>
      </w:r>
    </w:p>
    <w:p w14:paraId="6D0026C3" w14:textId="571E4795" w:rsidR="00FB2A53" w:rsidRPr="00F4243B" w:rsidRDefault="00E24B61"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 xml:space="preserve">Về bản chất, công tác tiếp nhận và xử lý phản ánh, kiến nghị đã vượt ra khỏi chức năng giải quyết </w:t>
      </w:r>
      <w:r w:rsidR="00A26A5D" w:rsidRPr="00F4243B">
        <w:rPr>
          <w:sz w:val="28"/>
          <w:szCs w:val="28"/>
          <w:lang w:val="vi-VN"/>
        </w:rPr>
        <w:t xml:space="preserve">hành vi </w:t>
      </w:r>
      <w:r w:rsidRPr="00F4243B">
        <w:rPr>
          <w:sz w:val="28"/>
          <w:szCs w:val="28"/>
          <w:lang w:val="vi-VN"/>
        </w:rPr>
        <w:t xml:space="preserve">đơn lẻ, trở thành một công cụ phát hiện và hoàn thiện thể chế. Qua đó, cơ chế này góp phần bảo đảm rằng mọi kiến nghị chính đáng của người dân, doanh nghiệp đều được lắng nghe và phản hồi, đồng thời tạo </w:t>
      </w:r>
      <w:r w:rsidRPr="00F4243B">
        <w:rPr>
          <w:sz w:val="28"/>
          <w:szCs w:val="28"/>
          <w:lang w:val="vi-VN"/>
        </w:rPr>
        <w:lastRenderedPageBreak/>
        <w:t>kênh huy động sự tham gia rộng rãi của xã hội vào quá trình hoàn thiện hệ thống pháp luật về thủ tục hành chính.</w:t>
      </w:r>
      <w:r w:rsidR="00F462B6" w:rsidRPr="00F4243B">
        <w:rPr>
          <w:sz w:val="28"/>
          <w:szCs w:val="28"/>
        </w:rPr>
        <w:t xml:space="preserve"> </w:t>
      </w:r>
      <w:r w:rsidRPr="00F4243B">
        <w:rPr>
          <w:sz w:val="28"/>
          <w:szCs w:val="28"/>
          <w:lang w:val="vi-VN"/>
        </w:rPr>
        <w:t>Có thể khẳng định, đây là một bước tiến quan trọng trong xây dựng nền hành chính phục vụ, khi phản ánh, kiến nghị của người dân không chỉ là “đầu vào thông tin” mà đã trở thành một nguồn lực cải cách, góp phần nâng cao chất lượng thể chế và hiệu quả thực thi thủ tục hành chính trong thực tiễn.</w:t>
      </w:r>
    </w:p>
    <w:p w14:paraId="56B7B620" w14:textId="77777777" w:rsidR="00B65604" w:rsidRPr="00F4243B" w:rsidRDefault="00EE39C2" w:rsidP="00F4243B">
      <w:pPr>
        <w:pStyle w:val="NormalWeb"/>
        <w:spacing w:before="120" w:beforeAutospacing="0" w:after="0" w:afterAutospacing="0" w:line="288" w:lineRule="auto"/>
        <w:ind w:firstLine="720"/>
        <w:jc w:val="both"/>
        <w:rPr>
          <w:sz w:val="28"/>
          <w:szCs w:val="28"/>
          <w:lang w:val="vi-VN"/>
        </w:rPr>
      </w:pPr>
      <w:r w:rsidRPr="00F4243B">
        <w:rPr>
          <w:b/>
          <w:i/>
          <w:sz w:val="28"/>
          <w:szCs w:val="28"/>
          <w:lang w:val="vi-VN"/>
        </w:rPr>
        <w:t xml:space="preserve">Thứ </w:t>
      </w:r>
      <w:r w:rsidR="00B743AE" w:rsidRPr="00F4243B">
        <w:rPr>
          <w:b/>
          <w:i/>
          <w:sz w:val="28"/>
          <w:szCs w:val="28"/>
          <w:lang w:val="vi-VN"/>
        </w:rPr>
        <w:t>năm</w:t>
      </w:r>
      <w:r w:rsidR="00F462B6" w:rsidRPr="00F4243B">
        <w:rPr>
          <w:b/>
          <w:i/>
          <w:sz w:val="28"/>
          <w:szCs w:val="28"/>
          <w:lang w:val="vi-VN"/>
        </w:rPr>
        <w:t>,</w:t>
      </w:r>
      <w:r w:rsidR="00B743AE" w:rsidRPr="00F4243B">
        <w:rPr>
          <w:sz w:val="28"/>
          <w:szCs w:val="28"/>
          <w:lang w:val="vi-VN"/>
        </w:rPr>
        <w:t xml:space="preserve"> </w:t>
      </w:r>
      <w:r w:rsidR="00B65604" w:rsidRPr="00F4243B">
        <w:rPr>
          <w:sz w:val="28"/>
          <w:szCs w:val="28"/>
          <w:lang w:val="vi-VN"/>
        </w:rPr>
        <w:t>Thực hiện thủ tục hành chính đã trải qua bước chuyển mang tính chiến lược từ mô hình hành chính truyền thống sang mô hình quản trị hiện đại, đặc biệt rõ nét trong giai đoạn từ năm 2020 đến nay. Trong giai đoạn này, cải cách thể chế được đồng bộ hóa với chuyển đổi số, ứng dụng công nghệ thông tin và quản trị dựa trên dữ liệu. Các văn bản pháp luật quan trọng, như Nghị định số 42/2020/NĐ-CP, 118/2025/NĐ-CP và Nghị quyết 66/NQ-CP, đã thiết lập khuôn khổ pháp lý cho việc thực hiện thủ tục hành chính không phụ thuộc địa giới hành chính, đồng thời khuyến khích ứng dụng công nghệ để nâng cao hiệu quả, tính minh bạch và trải nghiệm của người dân, doanh nghiệp.</w:t>
      </w:r>
    </w:p>
    <w:p w14:paraId="60D2BDB1" w14:textId="77777777" w:rsidR="00B65604" w:rsidRPr="00F4243B" w:rsidRDefault="00B65604" w:rsidP="00F4243B">
      <w:pPr>
        <w:pStyle w:val="NormalWeb"/>
        <w:spacing w:before="120" w:beforeAutospacing="0" w:after="0" w:afterAutospacing="0" w:line="288" w:lineRule="auto"/>
        <w:ind w:firstLine="720"/>
        <w:jc w:val="both"/>
        <w:rPr>
          <w:sz w:val="28"/>
          <w:szCs w:val="28"/>
        </w:rPr>
      </w:pPr>
      <w:r w:rsidRPr="00F4243B">
        <w:rPr>
          <w:sz w:val="28"/>
          <w:szCs w:val="28"/>
        </w:rPr>
        <w:t>Cơ chế một cửa, một cửa liên thông được triển khai đồng bộ tại các trung tâm phục vụ hành chính công các cấp, vận hành theo mô hình chính quyền địa phương một cấp hoặc hai cấp, và được tích hợp với các hệ thống thông tin, cơ sở dữ liệu quốc gia và chuyên ngành. Sự kết hợp này đã chuyển đổi phương thức quản lý từ hồ sơ giấy tờ sang quản lý dựa trên dữ liệu, giúp rút ngắn thời gian xử lý, tinh gọn thủ tục và nâng cao hiệu quả kiểm soát, giám sát.</w:t>
      </w:r>
    </w:p>
    <w:p w14:paraId="23BD20D5" w14:textId="45FD4756" w:rsidR="00420E55" w:rsidRPr="00F4243B" w:rsidRDefault="00B65604" w:rsidP="00F4243B">
      <w:pPr>
        <w:pStyle w:val="NormalWeb"/>
        <w:spacing w:before="120" w:beforeAutospacing="0" w:after="0" w:afterAutospacing="0" w:line="288" w:lineRule="auto"/>
        <w:ind w:firstLine="720"/>
        <w:jc w:val="both"/>
        <w:rPr>
          <w:sz w:val="28"/>
          <w:szCs w:val="28"/>
        </w:rPr>
      </w:pPr>
      <w:r w:rsidRPr="00F4243B">
        <w:rPr>
          <w:sz w:val="28"/>
          <w:szCs w:val="28"/>
        </w:rPr>
        <w:t>Cổng Dịch vụ công quốc gia được thiết lập như điểm truy cập tập trung, trở thành hạ tầng chiến lược cho Chính phủ điện tử và từng bước hướng tới Chính phủ số. Nhờ cơ sở dữ liệu định danh điện tử, người dân và doanh nghiệp có thể thực hiện thủ tục trực tuyến, không cần tiếp xúc trực tiếp với cơ quan nhà nước, đồng thời thuận tiện thực hiện thủ tục tại bất kỳ địa phương nào. Việc triển khai các đề án về dữ liệu dân cư, cơ sở dữ liệu quốc gia và định danh điện tử đã tạo nền tảng vững chắc cho quản trị dựa trên dữ liệu, kết nối thông suốt các hệ thống giải quyết thủ tục hành chính cấp tỉnh và các cơ sở dữ liệu chuyên ngành, góp phần nâng cao khả năng kiểm soát, giám sát và đánh giá hiệu quả thực thi thủ tục hành chính.</w:t>
      </w:r>
      <w:r w:rsidR="00437964" w:rsidRPr="00F4243B">
        <w:rPr>
          <w:sz w:val="28"/>
          <w:szCs w:val="28"/>
        </w:rPr>
        <w:t xml:space="preserve"> C</w:t>
      </w:r>
      <w:r w:rsidRPr="00F4243B">
        <w:rPr>
          <w:sz w:val="28"/>
          <w:szCs w:val="28"/>
        </w:rPr>
        <w:t>ông tác tổ chức thực hiện thủ tục hành chính đã chuyển sang mô hình quản trị hiện đại, với thủ tục được số hóa, giảm thiểu hồ sơ giấy tờ, đảm bảo đồng bộ và minh bạch, đồng thời tích hợp công nghệ thông tin và dữ liệu để nâng cao hiệu quả quản trị nhà nước và thúc đẩy chuyển đổi sang Chính phủ số.</w:t>
      </w:r>
    </w:p>
    <w:p w14:paraId="71027E6A" w14:textId="25EA2C95" w:rsidR="00EE39C2" w:rsidRPr="00F4243B" w:rsidRDefault="00EE39C2" w:rsidP="00F4243B">
      <w:pPr>
        <w:pStyle w:val="NormalWeb"/>
        <w:spacing w:before="120" w:beforeAutospacing="0" w:after="0" w:afterAutospacing="0" w:line="288" w:lineRule="auto"/>
        <w:ind w:firstLine="720"/>
        <w:jc w:val="both"/>
        <w:rPr>
          <w:sz w:val="28"/>
          <w:szCs w:val="28"/>
        </w:rPr>
      </w:pPr>
      <w:r w:rsidRPr="00F4243B">
        <w:rPr>
          <w:b/>
          <w:i/>
          <w:sz w:val="28"/>
          <w:szCs w:val="28"/>
          <w:lang w:val="vi-VN"/>
        </w:rPr>
        <w:t xml:space="preserve">Thứ </w:t>
      </w:r>
      <w:r w:rsidR="0094563C" w:rsidRPr="00F4243B">
        <w:rPr>
          <w:b/>
          <w:i/>
          <w:sz w:val="28"/>
          <w:szCs w:val="28"/>
          <w:lang w:val="vi-VN"/>
        </w:rPr>
        <w:t>sáu</w:t>
      </w:r>
      <w:r w:rsidRPr="00F4243B">
        <w:rPr>
          <w:b/>
          <w:i/>
          <w:sz w:val="28"/>
          <w:szCs w:val="28"/>
          <w:lang w:val="vi-VN"/>
        </w:rPr>
        <w:t>,</w:t>
      </w:r>
      <w:r w:rsidRPr="00F4243B">
        <w:rPr>
          <w:sz w:val="28"/>
          <w:szCs w:val="28"/>
          <w:lang w:val="vi-VN"/>
        </w:rPr>
        <w:t xml:space="preserve"> </w:t>
      </w:r>
      <w:r w:rsidR="00420E55" w:rsidRPr="00F4243B">
        <w:rPr>
          <w:sz w:val="28"/>
          <w:szCs w:val="28"/>
        </w:rPr>
        <w:t xml:space="preserve">công tác giám sát và đánh giá việc thực hiện TTHC đã có bước tiến quan trọng khi chuyển sang phương thức dựa trên dữ liệu theo thời gian thực. </w:t>
      </w:r>
      <w:r w:rsidR="00420E55" w:rsidRPr="00F4243B">
        <w:rPr>
          <w:sz w:val="28"/>
          <w:szCs w:val="28"/>
        </w:rPr>
        <w:lastRenderedPageBreak/>
        <w:t>Bộ chỉ số đánh giá chất lượng phục vụ người dân và doanh nghiệp trong thực hiện TTHC và cung cấp dịch vụ công được triển khai trên môi trường điện tử đã giúp các cơ quan quản lý kịp thời phát hiện các điểm nghẽn, nâng cao kỷ luật, kỷ cương hành chính và trách nhiệm giải trình trong thực thi công vụ. Điển hình là việc áp dụng bộ chỉ số đánh giá mức độ hài lòng của người dân (766), cho phép theo dõi hiệu quả thực thi, phát hiện kịp thời những tồn tại và cải thiện chất lượng giải quyết hồ sơ. C</w:t>
      </w:r>
      <w:r w:rsidRPr="00F4243B">
        <w:rPr>
          <w:sz w:val="28"/>
          <w:szCs w:val="28"/>
          <w:lang w:val="vi-VN"/>
        </w:rPr>
        <w:t xml:space="preserve">hất lượng giải quyết thủ tục hành chính đã có sự cải thiện rõ rệt, thể hiện qua tỷ lệ hồ sơ giải quyết đúng hạn tăng lên, mức độ công khai, minh bạch được nâng cao, và kỷ luật, kỷ cương hành chính từng bước được siết chặt. </w:t>
      </w:r>
    </w:p>
    <w:p w14:paraId="07B89AA1" w14:textId="2DC1FCD7" w:rsidR="00EE39C2" w:rsidRPr="00F4243B" w:rsidRDefault="00EE39C2" w:rsidP="00F4243B">
      <w:pPr>
        <w:pStyle w:val="NormalWeb"/>
        <w:spacing w:before="120" w:beforeAutospacing="0" w:after="0" w:afterAutospacing="0" w:line="288" w:lineRule="auto"/>
        <w:ind w:firstLine="720"/>
        <w:jc w:val="both"/>
        <w:rPr>
          <w:sz w:val="28"/>
          <w:szCs w:val="28"/>
        </w:rPr>
      </w:pPr>
      <w:r w:rsidRPr="00F4243B">
        <w:rPr>
          <w:sz w:val="28"/>
          <w:szCs w:val="28"/>
          <w:lang w:val="vi-VN"/>
        </w:rPr>
        <w:t>Tổng thể, những kết quả đạt được cho thấy cải cách thủ tục hành chính tại Việt Nam đã vượt qua giai đoạn “chuẩn hóa và công khai”, từng bước chuyển sang giai đoạn “tối ưu hóa và hiện đại hóa”, với sự dịch chuyển rõ nét về tư duy từ quản lý hành chính thuần túy sang quản trị phục vụ, lấy người dân và doanh nghiệp làm trung tâm. Đây là tiền đề quan trọng để tiếp tục thực hiện các cải cách sâu rộng hơn trong giai đoạn tới, hướng tới xây dựng nền hành chính hiện đại, hiệu lực, hiệu quả và thích ứn</w:t>
      </w:r>
      <w:r w:rsidR="00420E55" w:rsidRPr="00F4243B">
        <w:rPr>
          <w:sz w:val="28"/>
          <w:szCs w:val="28"/>
          <w:lang w:val="vi-VN"/>
        </w:rPr>
        <w:t>g với yêu cầu phát triển của</w:t>
      </w:r>
      <w:r w:rsidR="00420E55" w:rsidRPr="00F4243B">
        <w:rPr>
          <w:sz w:val="28"/>
          <w:szCs w:val="28"/>
        </w:rPr>
        <w:t xml:space="preserve"> Chính phủ số, </w:t>
      </w:r>
      <w:r w:rsidR="00420E55" w:rsidRPr="00F4243B">
        <w:rPr>
          <w:sz w:val="28"/>
          <w:szCs w:val="28"/>
          <w:lang w:val="vi-VN"/>
        </w:rPr>
        <w:t xml:space="preserve"> kinh tế số</w:t>
      </w:r>
      <w:r w:rsidR="00420E55" w:rsidRPr="00F4243B">
        <w:rPr>
          <w:sz w:val="28"/>
          <w:szCs w:val="28"/>
        </w:rPr>
        <w:t>, xã hội số.</w:t>
      </w:r>
    </w:p>
    <w:p w14:paraId="5010B82D" w14:textId="77777777" w:rsidR="00C17F24" w:rsidRPr="00F4243B" w:rsidRDefault="007115AE" w:rsidP="00F4243B">
      <w:pPr>
        <w:pStyle w:val="NormalWeb"/>
        <w:spacing w:before="120" w:beforeAutospacing="0" w:after="0" w:afterAutospacing="0" w:line="288" w:lineRule="auto"/>
        <w:ind w:firstLine="720"/>
        <w:jc w:val="both"/>
        <w:rPr>
          <w:b/>
          <w:sz w:val="28"/>
          <w:szCs w:val="28"/>
          <w:lang w:val="vi-VN"/>
        </w:rPr>
      </w:pPr>
      <w:r w:rsidRPr="00F4243B">
        <w:rPr>
          <w:b/>
          <w:sz w:val="28"/>
          <w:szCs w:val="28"/>
          <w:lang w:val="vi-VN"/>
        </w:rPr>
        <w:t>2. Tồn tại, hạn chế</w:t>
      </w:r>
    </w:p>
    <w:p w14:paraId="429396D4" w14:textId="1376AC9E" w:rsidR="00D35967" w:rsidRPr="00F4243B" w:rsidRDefault="00D35967"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Mặc dù thời gian qua, công tác kiểm soát thủ tục hành chính đã đạt được nhiều kết quả tích cực, từng bước tiệm cận với xu thế cải cách hiện đại, thể hiện qua việc chuẩn hóa, công khai, đơn giản hóa thủ tục và đẩy mạnh ứng dụng công nghệ thông tin, song sau hơn 15 năm triển khai, Nghị định số 63/2010/NĐ-CP đã bộc lộ một số hạn chế mang tính cấu trúc và nền tảng. Những hạn chế này xuất phát từ sự thay đổi nhanh chóng của bối cảnh phát triển, đặc biệt là yêu cầu chuyển đổi sang Chính phủ số, kinh tế số, cùng xu hướng toàn cầu hóa và xã hội hóa ngày càng sâu rộng. Trong bối cảnh đó, các chủ trương, định hướng lớn của Đảng gần đây, như Nghị quyết số 66-NQ/TW, 57-NQ/TW và 68-NQ/TW, đặt ra yêu cầu đổi mới mạnh mẽ quản trị quốc gia, hoàn thiện thể chế, thúc đẩy chuyển đổi số và cải thiện môi trường đầu tư kinh doanh. Đặc biệt, mục tiêu tăng trưởng cao, hướng tới hai con số, cùng quyết tâm cắt giảm, đơn giản hóa thủ tục hành chính, xóa bỏ cơ chế “xin – cho”, đã tạo áp lực cải cách toàn diện đối với hệ thống thủ tục hành chính và cơ chế kiểm soát hiện hành.</w:t>
      </w:r>
    </w:p>
    <w:p w14:paraId="401ABD69" w14:textId="137020BE" w:rsidR="00D35967" w:rsidRPr="00F4243B" w:rsidRDefault="00D35967" w:rsidP="00F4243B">
      <w:pPr>
        <w:pStyle w:val="NormalWeb"/>
        <w:spacing w:before="120" w:beforeAutospacing="0" w:after="0" w:afterAutospacing="0" w:line="288" w:lineRule="auto"/>
        <w:ind w:firstLine="720"/>
        <w:jc w:val="both"/>
        <w:rPr>
          <w:rStyle w:val="Strong"/>
          <w:b w:val="0"/>
          <w:bCs w:val="0"/>
          <w:sz w:val="28"/>
          <w:szCs w:val="28"/>
          <w:lang w:val="vi-VN"/>
        </w:rPr>
      </w:pPr>
      <w:r w:rsidRPr="00F4243B">
        <w:rPr>
          <w:sz w:val="28"/>
          <w:szCs w:val="28"/>
          <w:lang w:val="vi-VN"/>
        </w:rPr>
        <w:t>Tuy nhiên, các công cụ và phương thức kiểm soát thủ tục hành chính theo Nghị định 63</w:t>
      </w:r>
      <w:r w:rsidR="00BB5F17" w:rsidRPr="00F4243B">
        <w:rPr>
          <w:sz w:val="28"/>
          <w:szCs w:val="28"/>
        </w:rPr>
        <w:t>/2010/NĐ-CP</w:t>
      </w:r>
      <w:r w:rsidRPr="00F4243B">
        <w:rPr>
          <w:sz w:val="28"/>
          <w:szCs w:val="28"/>
          <w:lang w:val="vi-VN"/>
        </w:rPr>
        <w:t xml:space="preserve"> vẫn chưa theo kịp yêu cầu quản trị hiện đại, nhất là so với thông lệ của các nước OECD và các nền kinh tế mới. Nhiều nội dung cốt lõi như quản lý theo rủi ro, đánh giá chi phí – lợi ích, quản trị dựa trên dữ liệu, chuyển </w:t>
      </w:r>
      <w:r w:rsidRPr="00F4243B">
        <w:rPr>
          <w:sz w:val="28"/>
          <w:szCs w:val="28"/>
          <w:lang w:val="vi-VN"/>
        </w:rPr>
        <w:lastRenderedPageBreak/>
        <w:t>từ tiền kiểm sang hậu kiểm và trách nhiệm giải trình theo kết quả chưa được thể chế hóa đầy đủ. Do đó, việc tiếp thu có chọn lọc kinh nghiệm quốc tế và các mô hình cải cách thành công là yêu cầu tất yếu để hoàn thiện khuôn khổ pháp lý theo hướng hiện đại, hiệu quả. Đồng thời, thực tiễn triển khai cho thấy còn nhiều khó khăn, vướng mắc chưa được xử lý kịp thời, tạo khoảng cách giữa quy định và thực thi. Điều này đặt ra yêu cầu cấp thiết phải rà soát, sửa đổi, bổ sung Nghị định theo hướng phù hợp với thực tiễn, đồng bộ với chuyển đổi số và cải cách hành chính, đáp ứng yêu cầu phát triển nhanh, bền vững. Cụ thể, các tồn tại, hạn chế chủ yếu được thể hiện như sau:</w:t>
      </w:r>
    </w:p>
    <w:p w14:paraId="70AF2EA0" w14:textId="77777777" w:rsidR="00D35967" w:rsidRPr="00F4243B" w:rsidRDefault="007115AE" w:rsidP="00F4243B">
      <w:pPr>
        <w:pStyle w:val="NormalWeb"/>
        <w:spacing w:before="120" w:beforeAutospacing="0" w:after="0" w:afterAutospacing="0" w:line="288" w:lineRule="auto"/>
        <w:ind w:firstLine="720"/>
        <w:jc w:val="both"/>
        <w:rPr>
          <w:sz w:val="28"/>
          <w:szCs w:val="28"/>
          <w:lang w:val="vi-VN"/>
        </w:rPr>
      </w:pPr>
      <w:r w:rsidRPr="00F4243B">
        <w:rPr>
          <w:rStyle w:val="Strong"/>
          <w:rFonts w:eastAsia="Arial"/>
          <w:i/>
          <w:iCs/>
          <w:sz w:val="28"/>
          <w:szCs w:val="28"/>
          <w:lang w:val="vi-VN"/>
        </w:rPr>
        <w:t>2.</w:t>
      </w:r>
      <w:r w:rsidR="00C17F24" w:rsidRPr="00F4243B">
        <w:rPr>
          <w:rStyle w:val="Strong"/>
          <w:rFonts w:eastAsia="Arial"/>
          <w:i/>
          <w:iCs/>
          <w:sz w:val="28"/>
          <w:szCs w:val="28"/>
          <w:lang w:val="vi-VN"/>
        </w:rPr>
        <w:t>1.</w:t>
      </w:r>
      <w:r w:rsidR="00152DDA" w:rsidRPr="00F4243B">
        <w:rPr>
          <w:rStyle w:val="Strong"/>
          <w:rFonts w:eastAsia="Arial"/>
          <w:i/>
          <w:iCs/>
          <w:sz w:val="28"/>
          <w:szCs w:val="28"/>
          <w:lang w:val="vi-VN"/>
        </w:rPr>
        <w:t xml:space="preserve"> </w:t>
      </w:r>
      <w:r w:rsidR="00C17F24" w:rsidRPr="00F4243B">
        <w:rPr>
          <w:rStyle w:val="Strong"/>
          <w:rFonts w:eastAsia="Arial"/>
          <w:i/>
          <w:iCs/>
          <w:sz w:val="28"/>
          <w:szCs w:val="28"/>
          <w:lang w:val="vi-VN"/>
        </w:rPr>
        <w:t>P</w:t>
      </w:r>
      <w:r w:rsidR="003E685F" w:rsidRPr="00F4243B">
        <w:rPr>
          <w:rStyle w:val="Strong"/>
          <w:rFonts w:eastAsia="Arial"/>
          <w:i/>
          <w:iCs/>
          <w:sz w:val="28"/>
          <w:szCs w:val="28"/>
          <w:lang w:val="vi-VN"/>
        </w:rPr>
        <w:t>hạm vi điều chỉnh của pháp luật về kiểm soát TTHC còn hẹp, chưa bao quát đầy đủ các dạng thủ tục phát sinh trong hoạt động quản lý nhà nước</w:t>
      </w:r>
      <w:r w:rsidR="00D35967" w:rsidRPr="00F4243B">
        <w:rPr>
          <w:sz w:val="28"/>
          <w:szCs w:val="28"/>
          <w:lang w:val="vi-VN"/>
        </w:rPr>
        <w:t>.</w:t>
      </w:r>
    </w:p>
    <w:p w14:paraId="66772154" w14:textId="1348C24A" w:rsidR="00B06231" w:rsidRPr="00F4243B" w:rsidRDefault="007E04A4"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 xml:space="preserve">Theo quy định của Nghị định, đặc biệt tại các điều về phạm vi điều chỉnh, nguyên tắc kiểm soát và trách nhiệm của các cơ quan trong xây dựng, ban hành văn bản quy phạm pháp luật có quy định thủ tục hành chính, cơ chế kiểm soát chủ yếu tập trung vào việc đánh giá tác động, thẩm định, công bố và rà soát đối với thủ tục hành chính trong khu vực hành chính nhà nước. Tuy nhiên, </w:t>
      </w:r>
      <w:r w:rsidR="003E685F" w:rsidRPr="00F4243B">
        <w:rPr>
          <w:sz w:val="28"/>
          <w:szCs w:val="28"/>
          <w:lang w:val="vi-VN"/>
        </w:rPr>
        <w:t>trên thực tế còn tồn tại nhiều quy trình, thủ tục nội bộ giữa các cơ quan nhà nước hoặc trong từng cơ quan nhà nước, ảnh hưởng trực tiếp đến hiệu lực, hiệu quả, năng suất hoạt động của bộ máy nhà nước và chất lượng phục vụ người dân, doanh nghiệp nhưng chưa được đặt trong khuôn khổ kiểm soát thống nhất, hiệu quả</w:t>
      </w:r>
      <w:r w:rsidRPr="00F4243B">
        <w:rPr>
          <w:sz w:val="28"/>
          <w:szCs w:val="28"/>
          <w:lang w:val="vi-VN"/>
        </w:rPr>
        <w:t>. Điều này cho thấy phạm vi điều chỉnh của Nghị định còn hẹp so với thực tiễn phát sinh của thủ tục hành chính, dẫn đến khoảng trống trong kiểm soát và làm giảm hiệu quả chung của hệ thống.</w:t>
      </w:r>
      <w:r w:rsidR="003E685F" w:rsidRPr="00F4243B">
        <w:rPr>
          <w:sz w:val="28"/>
          <w:szCs w:val="28"/>
          <w:lang w:val="vi-VN"/>
        </w:rPr>
        <w:t xml:space="preserve"> </w:t>
      </w:r>
    </w:p>
    <w:p w14:paraId="64F2986F" w14:textId="5C72F1C3" w:rsidR="00362710" w:rsidRPr="00F4243B" w:rsidRDefault="00362710" w:rsidP="00F4243B">
      <w:pPr>
        <w:pStyle w:val="NormalWeb"/>
        <w:spacing w:before="120" w:beforeAutospacing="0" w:after="0" w:afterAutospacing="0" w:line="288" w:lineRule="auto"/>
        <w:ind w:firstLine="720"/>
        <w:jc w:val="both"/>
        <w:rPr>
          <w:b/>
          <w:i/>
          <w:sz w:val="28"/>
          <w:szCs w:val="28"/>
          <w:lang w:val="vi-VN"/>
        </w:rPr>
      </w:pPr>
      <w:r w:rsidRPr="00F4243B">
        <w:rPr>
          <w:b/>
          <w:i/>
          <w:sz w:val="28"/>
          <w:szCs w:val="28"/>
          <w:lang w:val="vi-VN"/>
        </w:rPr>
        <w:t xml:space="preserve">2.2. </w:t>
      </w:r>
      <w:r w:rsidR="00B06231" w:rsidRPr="00F4243B">
        <w:rPr>
          <w:b/>
          <w:i/>
          <w:sz w:val="28"/>
          <w:szCs w:val="28"/>
          <w:lang w:val="vi-VN"/>
        </w:rPr>
        <w:t>Phương thức, cơ chế, công cụ kiểm soát TTHC còn chưa theo kịp yêu cầu của quản trị nhà nước hiện đại. Chưa có cơ chế pháp lý đủ mạnh để kiểm soát chặt chẽ việc ban hành các TTHC có tính chất “tiền kiểm”, “xin-cho”; còn thiếu tiêu chí và nguyên lý quản lý rủi ro đối với ngành, nghề đầu tư kinh doanh có điều kiện</w:t>
      </w:r>
      <w:r w:rsidR="00B06231" w:rsidRPr="00F4243B" w:rsidDel="000B2B16">
        <w:rPr>
          <w:b/>
          <w:i/>
          <w:sz w:val="28"/>
          <w:szCs w:val="28"/>
          <w:lang w:val="vi-VN"/>
        </w:rPr>
        <w:t xml:space="preserve"> </w:t>
      </w:r>
    </w:p>
    <w:p w14:paraId="6004C591" w14:textId="77777777" w:rsidR="00362710" w:rsidRPr="00F4243B" w:rsidRDefault="00362710"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 xml:space="preserve">Sau hơn 15 năm triển khai, Nghị định số 63/2010/NĐ-CP bộc lộ hạn chế mang tính nền tảng trong cách tiếp cận kiểm soát thủ tục hành chính, khi vẫn thiên về “hình thức – tuân thủ” hơn là “quản trị rủi ro và hiệu quả”. Các quy định hiện hành chủ yếu tập trung kiểm soát tính hợp hiến, hợp pháp và đầy đủ của các yếu tố cấu thành thủ tục như hồ sơ, trình tự, thời hạn, phù hợp với giai đoạn đầu khi trọng tâm là chuẩn hóa, công khai. Tuy nhiên, cách tiếp cận này chưa phản ánh đầy đủ bản chất của thủ tục hành chính như một công cụ điều tiết hành vi và phân </w:t>
      </w:r>
      <w:r w:rsidRPr="00F4243B">
        <w:rPr>
          <w:sz w:val="28"/>
          <w:szCs w:val="28"/>
          <w:lang w:val="vi-VN"/>
        </w:rPr>
        <w:lastRenderedPageBreak/>
        <w:t>bổ nguồn lực, do chưa đặt ra yêu cầu đánh giá tính cần thiết, mức độ can thiệp hợp lý của Nhà nước cũng như tương quan chi phí – lợi ích.</w:t>
      </w:r>
    </w:p>
    <w:p w14:paraId="321C2E6F" w14:textId="77777777" w:rsidR="00362710" w:rsidRPr="00F4243B" w:rsidRDefault="00362710"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Đáng chú ý, Nghị định chưa thiết lập nguyên tắc phân loại và quản lý theo rủi ro gắn với bảo đảm cạnh tranh, dẫn đến thiết kế thủ tục mang tính “cào bằng” giữa các lĩnh vực. Trong khi đó, theo thông lệ quốc tế và khuyến nghị của OECD, mức độ can thiệp phải tương xứng với rủi ro và không làm méo mó cạnh tranh; các công cụ như cấp phép chỉ nên áp dụng với lĩnh vực rủi ro cao, còn lĩnh vực rủi ro thấp cần ưu tiên cơ chế linh hoạt như đăng ký, công bố hoặc tự chứng nhận. Việc thiếu tiêu chí xác định rủi ro và cơ chế thay thế khiến cấp phép tiếp tục là công cụ mặc định, duy trì cơ chế “xin – cho”, làm gia tăng chi phí tuân thủ và hạn chế cạnh tranh.</w:t>
      </w:r>
    </w:p>
    <w:p w14:paraId="4DC05CFE" w14:textId="07E821FD" w:rsidR="00362710" w:rsidRPr="00F4243B" w:rsidRDefault="00362710"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Bên cạnh đó, nguyên tắc “tiền kiểm” vẫn chi phối trong thiết kế và thực hiện thủ tục hành chính. Hệ quả là thủ tục cấp phép vẫn trở thành “cửa vào bắt buộc” trong nhiều lĩnh vực, kể cả lĩnh vực rủi ro thấp; quản lý nhà nước tập trung vào khâu đầu vào nhưng chưa tương xứng ở khâu giám sát sau. Điều này dẫn đến nghịch lý: thủ tục ngày càng chặt chẽ về hình thức nhưng hiệu quả quản lý thực chất chưa được cải thiện, đồng thời làm gia tăng gánh nặng tuân thủ và hạn chế tính linh hoạt của nền kinh tế.</w:t>
      </w:r>
    </w:p>
    <w:p w14:paraId="28FC2E10" w14:textId="0234CD46" w:rsidR="003E5004" w:rsidRPr="00F4243B" w:rsidRDefault="007115AE" w:rsidP="00F4243B">
      <w:pPr>
        <w:spacing w:before="120" w:line="288" w:lineRule="auto"/>
        <w:ind w:firstLine="720"/>
        <w:jc w:val="both"/>
        <w:rPr>
          <w:b/>
          <w:i/>
          <w:lang w:val="vi-VN"/>
        </w:rPr>
      </w:pPr>
      <w:r w:rsidRPr="00F4243B">
        <w:rPr>
          <w:b/>
          <w:bCs/>
          <w:i/>
          <w:lang w:val="vi-VN"/>
        </w:rPr>
        <w:t>2.</w:t>
      </w:r>
      <w:r w:rsidR="00E1523E" w:rsidRPr="00F4243B">
        <w:rPr>
          <w:b/>
          <w:bCs/>
          <w:i/>
        </w:rPr>
        <w:t>3</w:t>
      </w:r>
      <w:r w:rsidR="003E5004" w:rsidRPr="00F4243B">
        <w:rPr>
          <w:b/>
          <w:bCs/>
          <w:i/>
          <w:lang w:val="vi-VN"/>
        </w:rPr>
        <w:t xml:space="preserve">. </w:t>
      </w:r>
      <w:r w:rsidR="008336B0" w:rsidRPr="00F4243B">
        <w:rPr>
          <w:b/>
          <w:i/>
        </w:rPr>
        <w:t>Hạn chế trong cơ chế rà soát TTHC phần lớn còn mang tính đơn lẻ, chưa theo vòng đời sự kiện theo yêu cầu của người dân, doanh nghiệp</w:t>
      </w:r>
    </w:p>
    <w:p w14:paraId="3E25CB45" w14:textId="0307EA80" w:rsidR="008336B0" w:rsidRPr="00F4243B" w:rsidRDefault="008336B0"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Một hạn chế đáng chú ý của Nghị định số 63/2010/NĐ-CP là cơ chế rà soát, đánh giá thủ tục hành chính chưa được thiết kế theo hướng toàn diện và gắn với vòng đời của thủ tục. Mặc dù các quy định hiện hành đã đặt ra yêu cầu đánh giá về tính cần thiết, hợp lý, hợp pháp và chi phí tuân thủ, song cách tiếp cận này vẫn chủ yếu kế thừa logic của giai đoạn đánh giá tác động chính sách đơn lẻ</w:t>
      </w:r>
      <w:r w:rsidRPr="00F4243B">
        <w:rPr>
          <w:sz w:val="28"/>
          <w:szCs w:val="28"/>
        </w:rPr>
        <w:t>.</w:t>
      </w:r>
      <w:r w:rsidRPr="00F4243B">
        <w:rPr>
          <w:sz w:val="28"/>
          <w:szCs w:val="28"/>
          <w:lang w:val="vi-VN"/>
        </w:rPr>
        <w:t xml:space="preserve"> Bên cạnh đó, đánh giá dựa nhiều vào giả định, mà chưa bổ sung đầy đủ các nội dung đánh giá trong giai đoạn tổ chức thực hiện</w:t>
      </w:r>
    </w:p>
    <w:p w14:paraId="0C137FC6" w14:textId="78714DC5" w:rsidR="008336B0" w:rsidRPr="00F4243B" w:rsidRDefault="008336B0"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Trong khi đó, về nguyên tắc quản trị hiện đại, việc rà soát thủ tục hành chính cần được thực hiện trên cơ sở bằng chứng thực tiễn phát sinh trong quá trình áp dụng, bao gồm trải nghiệm của người dân, doanh nghiệp, thời gian xử lý thực tế, mức độ tuân thủ và chi phí phát sinh ngoài dự kiến. Tuy nhiên, Nghị định chưa thiết lập cơ chế thu thập, phân tích và sử dụng dữ liệu thực thi một cách có hệ thống, dẫn đến việc đánh giá vẫn thiên về “đúng quy định” hơn là “hiệu quả thực tế”.</w:t>
      </w:r>
      <w:r w:rsidRPr="00F4243B">
        <w:rPr>
          <w:sz w:val="28"/>
          <w:szCs w:val="28"/>
        </w:rPr>
        <w:t xml:space="preserve"> </w:t>
      </w:r>
      <w:r w:rsidRPr="00F4243B">
        <w:rPr>
          <w:sz w:val="28"/>
          <w:szCs w:val="28"/>
          <w:lang w:val="vi-VN"/>
        </w:rPr>
        <w:t xml:space="preserve">Quan trọng hơn, cách tiếp cận hiện nay vẫn chưa chuyển mạnh sang mô hình lấy người dân, doanh nghiệp làm trung tâm. Việc đánh giá thủ tục hành chính chưa được thiết kế theo “vòng đời sự kiện”, tức là chưa xuất phát từ nhu cầu thực </w:t>
      </w:r>
      <w:r w:rsidRPr="00F4243B">
        <w:rPr>
          <w:sz w:val="28"/>
          <w:szCs w:val="28"/>
          <w:lang w:val="vi-VN"/>
        </w:rPr>
        <w:lastRenderedPageBreak/>
        <w:t>tế của người dân trong từng tình huống cụ thể để đánh giá mức độ thuận tiện, liên thông và hiệu quả của thủ tục. Do đó, thủ tục hành chính trong nhiều trường hợp vẫn được thiết kế theo hướng thuận tiện cho cơ quan quản lý hơn là tối ưu hóa trải nghiệm của người sử dụng.</w:t>
      </w:r>
    </w:p>
    <w:p w14:paraId="55072871" w14:textId="77777777" w:rsidR="0043743F" w:rsidRPr="00F4243B" w:rsidRDefault="00A85C2E" w:rsidP="00F4243B">
      <w:pPr>
        <w:pStyle w:val="NormalWeb"/>
        <w:spacing w:before="120" w:beforeAutospacing="0" w:after="0" w:afterAutospacing="0" w:line="288" w:lineRule="auto"/>
        <w:ind w:firstLine="720"/>
        <w:jc w:val="both"/>
        <w:rPr>
          <w:i/>
          <w:sz w:val="28"/>
          <w:szCs w:val="28"/>
        </w:rPr>
      </w:pPr>
      <w:r w:rsidRPr="00F4243B">
        <w:rPr>
          <w:rStyle w:val="Strong"/>
          <w:i/>
          <w:sz w:val="28"/>
          <w:szCs w:val="28"/>
        </w:rPr>
        <w:t>2.4. Chưa có cơ chế kiểm soát thẩm quyền quy định TTHC</w:t>
      </w:r>
    </w:p>
    <w:p w14:paraId="6CAC8EC1" w14:textId="047D4686" w:rsidR="00A85C2E" w:rsidRPr="00F4243B" w:rsidRDefault="00A85C2E" w:rsidP="00F4243B">
      <w:pPr>
        <w:pStyle w:val="NormalWeb"/>
        <w:spacing w:before="120" w:beforeAutospacing="0" w:after="0" w:afterAutospacing="0" w:line="288" w:lineRule="auto"/>
        <w:ind w:firstLine="720"/>
        <w:jc w:val="both"/>
        <w:rPr>
          <w:i/>
          <w:sz w:val="28"/>
          <w:szCs w:val="28"/>
        </w:rPr>
      </w:pPr>
      <w:r w:rsidRPr="00F4243B">
        <w:rPr>
          <w:sz w:val="28"/>
          <w:szCs w:val="28"/>
          <w:lang w:val="vi-VN"/>
        </w:rPr>
        <w:t xml:space="preserve">Khung pháp lý hiện hành chưa quy định thẩm quyền quy định và thực hiện thủ tục hành chính. Trên thực tế, một số văn bản quy phạm pháp luật đã giao cho địa phương quy định toàn bộ nội dung thủ tục hành chính đối với các thủ tục có phạm vi áp dụng rộng, mang tính phổ biến trên toàn quốc; đồng thời, một số thủ tục cấp phép có điều kiện, tác động trực tiếp đến quyền tự do sản xuất, kinh doanh của doanh nghiệp vẫn được quy định ở cấp thông tư mà chưa có cơ chế kiểm soát chặt chẽ về thẩm quyền và mức độ can thiệp.Cách tiếp cận này dẫn đến tình trạng cùng một loại thủ tục được quy định và áp dụng khác nhau giữa các địa phương, thậm chí đến cấp cơ sở, làm suy giảm tính thống nhất của hệ thống thủ tục hành chính. Đồng thời, gây khó khăn cho quá trình số hóa, xây dựng cơ sở dữ liệu dùng chung và triển khai dịch vụ công trực tuyến liên thông, không phụ thuộc địa giới hành chính; làm gia tăng nguy cơ lạm dụng công cụ cấp phép, duy trì cơ chế “xin </w:t>
      </w:r>
      <w:r w:rsidRPr="00F4243B">
        <w:rPr>
          <w:sz w:val="28"/>
          <w:szCs w:val="28"/>
        </w:rPr>
        <w:t>-</w:t>
      </w:r>
      <w:r w:rsidRPr="00F4243B">
        <w:rPr>
          <w:sz w:val="28"/>
          <w:szCs w:val="28"/>
          <w:lang w:val="vi-VN"/>
        </w:rPr>
        <w:t xml:space="preserve"> cho” và tăng chi phí tuân thủ cho người dân, doanh nghiệp.</w:t>
      </w:r>
    </w:p>
    <w:p w14:paraId="5B5FBE2C" w14:textId="0CF762E9" w:rsidR="00A85C2E" w:rsidRPr="00F4243B" w:rsidRDefault="00A85C2E"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Một trong những thành tựu cốt lõi của cải cách thủ tục hành chính, đặc biệt từ Đề án 30, là đã thiết lập cơ chế kiểm soát việc ban hành thủ tục hành chính, qua đó khắc phục tình trạng ban hành tràn lan, bảo đảm thủ tục chỉ được quy định khi thực sự cần thiết, hợp lý và hợp pháp. Tuy nhiên, kết quả này đang có nguy cơ bị suy giảm nếu không tiếp tục hoàn thiện cơ chế kiểm soát thẩm quyền. Do đó, cần bổ sung các nguyên tắc về thẩm quyền quy định thủ tục hành chính trong Nghị định, bao gồm: xác định rõ cấp có thẩm quyền ban hành tương ứng với phạm vi áp dụng; giới hạn chặt chẽ việc phân cấp, phân quyền, ủy quyền, đặc biệt đối với các thủ tục áp đặt nghĩa vụ hoặc hạn chế quyền của người dân, doanh nghiệp; đồng thời thiết lập cơ chế kiểm soát hiệu quả nhằm bảo đảm tính thống nhất, minh bạch và hợp lý của hệ thống thủ tục hành chính trên phạm vi toàn quốc.</w:t>
      </w:r>
    </w:p>
    <w:p w14:paraId="760E3663" w14:textId="45D6225D" w:rsidR="00C17F24" w:rsidRPr="00F4243B" w:rsidRDefault="007115AE" w:rsidP="00F4243B">
      <w:pPr>
        <w:pStyle w:val="NormalWeb"/>
        <w:spacing w:before="120" w:beforeAutospacing="0" w:after="0" w:afterAutospacing="0" w:line="288" w:lineRule="auto"/>
        <w:ind w:firstLine="720"/>
        <w:jc w:val="both"/>
        <w:rPr>
          <w:i/>
          <w:sz w:val="28"/>
          <w:szCs w:val="28"/>
          <w:lang w:val="vi-VN"/>
        </w:rPr>
      </w:pPr>
      <w:r w:rsidRPr="00F4243B">
        <w:rPr>
          <w:b/>
          <w:bCs/>
          <w:i/>
          <w:sz w:val="28"/>
          <w:szCs w:val="28"/>
        </w:rPr>
        <w:t>2.</w:t>
      </w:r>
      <w:r w:rsidR="00E725F1" w:rsidRPr="00F4243B">
        <w:rPr>
          <w:b/>
          <w:bCs/>
          <w:i/>
          <w:sz w:val="28"/>
          <w:szCs w:val="28"/>
        </w:rPr>
        <w:t>5</w:t>
      </w:r>
      <w:r w:rsidR="00C17F24" w:rsidRPr="00F4243B">
        <w:rPr>
          <w:b/>
          <w:bCs/>
          <w:i/>
          <w:sz w:val="28"/>
          <w:szCs w:val="28"/>
        </w:rPr>
        <w:t xml:space="preserve"> Về </w:t>
      </w:r>
      <w:r w:rsidR="00E725F1" w:rsidRPr="00F4243B">
        <w:rPr>
          <w:b/>
          <w:bCs/>
          <w:i/>
          <w:sz w:val="28"/>
          <w:szCs w:val="28"/>
        </w:rPr>
        <w:t>bất cập trong quy định công bố TTHC địa phương hóa</w:t>
      </w:r>
    </w:p>
    <w:p w14:paraId="36B60509" w14:textId="1897F356" w:rsidR="0057619E" w:rsidRPr="00F4243B" w:rsidRDefault="0057619E"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 xml:space="preserve">Theo quy định tại Điều 14, Điều 15 và Điều 16 của Nghị định số 63/2010/NĐ-CP, cả bộ, ngành và địa phương đều có trách nhiệm công bố thủ tục hành chính thuộc phạm vi quản lý. Cách tiếp cận “địa phương hóa công bố” không tạo ra nhiều giá trị gia tăng về quản lý, nhưng làm phát sinh khối lượng công việc lớn, mang tính lặp lại với công bố của Bộ, ngành, gây tốn kém về thời gian, chi phí và nguồn lực của cơ quan hành chính, đặc biệt tại cấp địa phương. Đồng thời, </w:t>
      </w:r>
      <w:r w:rsidRPr="00F4243B">
        <w:rPr>
          <w:sz w:val="28"/>
          <w:szCs w:val="28"/>
          <w:lang w:val="vi-VN"/>
        </w:rPr>
        <w:lastRenderedPageBreak/>
        <w:t>việc công bố phân tán còn dẫn đến phân mảnh dữ liệu, gây khó khăn trong xây dựng, quản lý cơ sở dữ liệu thủ tục hành chính thống nhất trên phạm vi quốc gia và cản trở việc triển khai các dịch vụ công trực tuyến liên thông.</w:t>
      </w:r>
    </w:p>
    <w:p w14:paraId="6D211AE0" w14:textId="32E7573E" w:rsidR="0057619E" w:rsidRPr="00F4243B" w:rsidRDefault="0057619E"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Qua tổng hợp ý kiến từ các bộ, ngành và địa phương trong quá trình tổng kết thi hành Nghị định 63/2010/NĐ-CP, hầu hết các địa phương đều đề nghị bãi bỏ yêu cầu công bố lại thủ tục hành chính theo hướng “địa phương hóa”, và chỉ duy trì việc công bố đối với các thủ tục hành chính do chính quyền địa phương ban hành theo thẩm quyền. Điều này phản ánh rõ nhu cầu thực tiễn về việc giảm tải thủ tục hành chính nội bộ và tập trung nguồn lực vào nâng cao chất lượng thực thi.</w:t>
      </w:r>
    </w:p>
    <w:p w14:paraId="2A10FFE8" w14:textId="77777777" w:rsidR="0057619E" w:rsidRPr="00F4243B" w:rsidRDefault="0057619E"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Về bản chất, quy định hiện hành vẫn phản ánh cách tiếp cận “công bố để minh bạch” của giai đoạn đầu cải cách, khi thủ tục hành chính chủ yếu được tiếp cận dưới dạng văn bản. Tuy nhiên, trong bối cảnh chuyển đổi số và phát triển Chính phủ điện tử, cách tiếp cận này đã bộc lộ hạn chế, khi minh bạch không chỉ dừng ở việc công bố danh mục thủ tục, mà phải được bảo đảm thông qua khả năng truy cập, thực hiện và giám sát trực tiếp trên hệ thống thông tin điện tử.</w:t>
      </w:r>
    </w:p>
    <w:p w14:paraId="26C2A2F8" w14:textId="706B9E61" w:rsidR="00C17F24" w:rsidRPr="00F4243B" w:rsidRDefault="007115AE" w:rsidP="00F4243B">
      <w:pPr>
        <w:pStyle w:val="NormalWeb"/>
        <w:spacing w:before="120" w:beforeAutospacing="0" w:after="0" w:afterAutospacing="0" w:line="288" w:lineRule="auto"/>
        <w:ind w:firstLine="720"/>
        <w:jc w:val="both"/>
        <w:rPr>
          <w:i/>
          <w:sz w:val="28"/>
          <w:szCs w:val="28"/>
          <w:lang w:val="vi-VN"/>
        </w:rPr>
      </w:pPr>
      <w:r w:rsidRPr="00F4243B">
        <w:rPr>
          <w:rStyle w:val="Strong"/>
          <w:i/>
          <w:sz w:val="28"/>
          <w:szCs w:val="28"/>
          <w:lang w:val="vi-VN"/>
        </w:rPr>
        <w:t>2.</w:t>
      </w:r>
      <w:r w:rsidR="00E725F1" w:rsidRPr="00F4243B">
        <w:rPr>
          <w:rStyle w:val="Strong"/>
          <w:i/>
          <w:sz w:val="28"/>
          <w:szCs w:val="28"/>
        </w:rPr>
        <w:t>6</w:t>
      </w:r>
      <w:r w:rsidR="00C17F24" w:rsidRPr="00F4243B">
        <w:rPr>
          <w:rStyle w:val="Strong"/>
          <w:i/>
          <w:sz w:val="28"/>
          <w:szCs w:val="28"/>
          <w:lang w:val="vi-VN"/>
        </w:rPr>
        <w:t>. Về thiếu cơ chế bảo đảm thực thi các phương án cắt giảm, đơn giản hóa TTHC</w:t>
      </w:r>
    </w:p>
    <w:p w14:paraId="13F2BBD8" w14:textId="20442918" w:rsidR="00772E18" w:rsidRPr="00F4243B" w:rsidRDefault="00C17F24" w:rsidP="00F4243B">
      <w:pPr>
        <w:pStyle w:val="NormalWeb"/>
        <w:spacing w:before="120" w:beforeAutospacing="0" w:after="0" w:afterAutospacing="0" w:line="288" w:lineRule="auto"/>
        <w:ind w:firstLine="720"/>
        <w:jc w:val="both"/>
        <w:rPr>
          <w:sz w:val="28"/>
          <w:szCs w:val="28"/>
          <w:lang w:val="vi-VN"/>
        </w:rPr>
      </w:pPr>
      <w:r w:rsidRPr="00F4243B">
        <w:rPr>
          <w:sz w:val="28"/>
          <w:szCs w:val="28"/>
          <w:lang w:val="vi-VN"/>
        </w:rPr>
        <w:t>Mặc dù Nghị định 63</w:t>
      </w:r>
      <w:r w:rsidR="0057619E" w:rsidRPr="00F4243B">
        <w:rPr>
          <w:sz w:val="28"/>
          <w:szCs w:val="28"/>
        </w:rPr>
        <w:t>/2010/NĐ-CP</w:t>
      </w:r>
      <w:r w:rsidRPr="00F4243B">
        <w:rPr>
          <w:sz w:val="28"/>
          <w:szCs w:val="28"/>
          <w:lang w:val="vi-VN"/>
        </w:rPr>
        <w:t xml:space="preserve"> quy định trách nhiệm rà soát, đơn giản hóa TTHC (Điều 28, 29), nhưng chưa thiết lập cơ chế pháp lý đủ mạnh để bảo đảm việc thực thi các phương án đã được phê duyệt. Thiếu các chế tài, cơ chế giám sát đến cùng và công cụ theo dõi tiến độ thực hiện dẫn đến độ trễ lớn giữa “quyết định cải cách” và “kết quả cải cách”. Điều này làm suy giảm hiệu lực của chính sách, ảnh hưởng đến niềm tin của người dân, doanh nghiệp và làm giảm hiệu quả tổng thể của chương trình cải cách TTHC.</w:t>
      </w:r>
    </w:p>
    <w:p w14:paraId="08DC8539" w14:textId="7868FB7E" w:rsidR="00B06231" w:rsidRPr="00F4243B" w:rsidRDefault="00B06231" w:rsidP="00F4243B">
      <w:pPr>
        <w:spacing w:before="120" w:line="288" w:lineRule="auto"/>
        <w:ind w:firstLine="720"/>
        <w:jc w:val="both"/>
        <w:rPr>
          <w:i/>
          <w:lang w:val="vi-VN"/>
        </w:rPr>
      </w:pPr>
      <w:r w:rsidRPr="00F4243B">
        <w:rPr>
          <w:b/>
          <w:bCs/>
          <w:i/>
          <w:lang w:val="vi-VN"/>
        </w:rPr>
        <w:t>2.</w:t>
      </w:r>
      <w:r w:rsidR="00E725F1" w:rsidRPr="00F4243B">
        <w:rPr>
          <w:b/>
          <w:bCs/>
          <w:i/>
        </w:rPr>
        <w:t>7</w:t>
      </w:r>
      <w:r w:rsidRPr="00F4243B">
        <w:rPr>
          <w:b/>
          <w:bCs/>
          <w:i/>
          <w:lang w:val="vi-VN"/>
        </w:rPr>
        <w:t>. Chưa gắn kết đầy đủ với chuyển đổi số và quản trị dữ liệu</w:t>
      </w:r>
    </w:p>
    <w:p w14:paraId="0EEF8346" w14:textId="77777777" w:rsidR="00B06231" w:rsidRPr="00F4243B" w:rsidRDefault="00B06231" w:rsidP="00F4243B">
      <w:pPr>
        <w:spacing w:before="120" w:line="288" w:lineRule="auto"/>
        <w:ind w:firstLine="720"/>
        <w:jc w:val="both"/>
        <w:rPr>
          <w:lang w:val="vi-VN"/>
        </w:rPr>
      </w:pPr>
      <w:r w:rsidRPr="00F4243B">
        <w:rPr>
          <w:bCs/>
          <w:lang w:val="vi-VN"/>
        </w:rPr>
        <w:t>Một hạn chế đáng kể của Nghị định 63/2010/NĐ-CP là chưa tiếp cận đầy đủ theo hướng quản trị dữ liệu hiện đại trong kiểm soát và thực hiện thủ tục hành chính.</w:t>
      </w:r>
      <w:r w:rsidRPr="00F4243B">
        <w:rPr>
          <w:lang w:val="vi-VN"/>
        </w:rPr>
        <w:t xml:space="preserve"> Mặc dù Chương IV (Điều 23 đến Điều 26) đã quy định về xây dựng và công khai Cơ sở dữ liệu quốc gia về thủ tục hành chính, nhưng các quy định này chủ yếu phục vụ mục tiêu minh bạch thông tin, chưa phát huy vai trò của dữ liệu như một nền tảng để tái sử dụng và tối ưu hóa quy trình thủ tục.</w:t>
      </w:r>
    </w:p>
    <w:p w14:paraId="158BC450" w14:textId="77777777" w:rsidR="00B06231" w:rsidRPr="00F4243B" w:rsidRDefault="00B06231" w:rsidP="00F4243B">
      <w:pPr>
        <w:spacing w:before="120" w:line="288" w:lineRule="auto"/>
        <w:ind w:firstLine="720"/>
        <w:jc w:val="both"/>
        <w:rPr>
          <w:lang w:val="vi-VN"/>
        </w:rPr>
      </w:pPr>
      <w:r w:rsidRPr="00F4243B">
        <w:rPr>
          <w:lang w:val="vi-VN"/>
        </w:rPr>
        <w:t xml:space="preserve">Đáng chú ý, dù điểm g khoản 2 Điều 8 đã bước đầu quy định nguyên tắc không yêu cầu cung cấp lại các thông tin mà cơ quan nhà nước đã có trong hệ thống dữ liệu, nhưng Nghị định chưa thiết lập đầy đủ cơ chế thực thi nguyên tắc </w:t>
      </w:r>
      <w:r w:rsidRPr="00F4243B">
        <w:rPr>
          <w:lang w:val="vi-VN"/>
        </w:rPr>
        <w:lastRenderedPageBreak/>
        <w:t>“chỉ cung cấp một lần” (once-only principle), cũng như chưa quy định rõ trách nhiệm chia sẻ, kết nối và khai thác dữ liệu giữa các cơ quan. Đồng thời, việc quản lý và khai thác dữ liệu chưa được tích hợp chặt chẽ vào khâu thiết kế và thực hiện thủ tục hành chính.</w:t>
      </w:r>
    </w:p>
    <w:p w14:paraId="2DF6E72A" w14:textId="77777777" w:rsidR="00B06231" w:rsidRPr="00F4243B" w:rsidRDefault="00B06231" w:rsidP="00F4243B">
      <w:pPr>
        <w:spacing w:before="120" w:line="288" w:lineRule="auto"/>
        <w:ind w:firstLine="720"/>
        <w:jc w:val="both"/>
        <w:rPr>
          <w:lang w:val="vi-VN"/>
        </w:rPr>
      </w:pPr>
      <w:r w:rsidRPr="00F4243B">
        <w:rPr>
          <w:lang w:val="vi-VN"/>
        </w:rPr>
        <w:t>Về lý luận, trong mô hình quản trị hiện đại, dữ liệu phải đóng vai trò là “hạ tầng mềm” của hệ thống hành chính, cho phép giảm thiểu yêu cầu hồ sơ, tự động hóa quy trình và nâng cao chất lượng phục vụ. Tuy nhiên, do thiếu nền tảng pháp lý đầy đủ cho việc tái sử dụng dữ liệu, hệ thống thủ tục hành chính theo Nghị định 63 vẫn vận hành chủ yếu theo logic hồ sơ giấy hoặc hồ sơ điện tử tách rời, chưa chuyển sang mô hình xử lý dựa trên dữ liệu.</w:t>
      </w:r>
    </w:p>
    <w:p w14:paraId="740EEF47" w14:textId="77777777" w:rsidR="00B06231" w:rsidRPr="00F4243B" w:rsidRDefault="00B06231" w:rsidP="00F4243B">
      <w:pPr>
        <w:spacing w:before="120" w:line="288" w:lineRule="auto"/>
        <w:ind w:firstLine="720"/>
        <w:jc w:val="both"/>
        <w:rPr>
          <w:lang w:val="vi-VN"/>
        </w:rPr>
      </w:pPr>
      <w:r w:rsidRPr="00F4243B">
        <w:rPr>
          <w:lang w:val="vi-VN"/>
        </w:rPr>
        <w:t>Hệ quả trong thực tiễn là người dân, doanh nghiệp vẫn phải cung cấp lặp lại thông tin trong nhiều thủ tục khác nhau, làm gia tăng chi phí tuân thủ và thời gian thực hiện, đồng thời hạn chế khả năng khai thác dữ liệu để đơn giản hóa thủ tục hành chính và nâng cao hiệu quả quản lý nhà nước.</w:t>
      </w:r>
    </w:p>
    <w:p w14:paraId="7BFE5965" w14:textId="1FED92E4" w:rsidR="00B06231" w:rsidRPr="00F4243B" w:rsidRDefault="00B06231" w:rsidP="00F4243B">
      <w:pPr>
        <w:spacing w:before="120" w:line="288" w:lineRule="auto"/>
        <w:ind w:firstLine="720"/>
        <w:jc w:val="both"/>
        <w:rPr>
          <w:i/>
        </w:rPr>
      </w:pPr>
      <w:r w:rsidRPr="00F4243B">
        <w:rPr>
          <w:b/>
          <w:bCs/>
          <w:i/>
          <w:lang w:val="vi-VN"/>
        </w:rPr>
        <w:t>2.</w:t>
      </w:r>
      <w:r w:rsidR="00E725F1" w:rsidRPr="00F4243B">
        <w:rPr>
          <w:b/>
          <w:bCs/>
          <w:i/>
        </w:rPr>
        <w:t>8</w:t>
      </w:r>
      <w:r w:rsidRPr="00F4243B">
        <w:rPr>
          <w:b/>
          <w:bCs/>
          <w:i/>
          <w:lang w:val="vi-VN"/>
        </w:rPr>
        <w:t xml:space="preserve">. Trách nhiệm giải trình của cơ quan </w:t>
      </w:r>
      <w:r w:rsidR="0057619E" w:rsidRPr="00F4243B">
        <w:rPr>
          <w:b/>
          <w:bCs/>
          <w:i/>
        </w:rPr>
        <w:t>ban hành thủ tục hành chính còn chưa được chú trọng</w:t>
      </w:r>
    </w:p>
    <w:p w14:paraId="67B87964" w14:textId="77777777" w:rsidR="00B06231" w:rsidRPr="00F4243B" w:rsidRDefault="00B06231" w:rsidP="00F4243B">
      <w:pPr>
        <w:spacing w:before="120" w:line="288" w:lineRule="auto"/>
        <w:ind w:firstLine="720"/>
        <w:jc w:val="both"/>
        <w:rPr>
          <w:lang w:val="vi-VN"/>
        </w:rPr>
      </w:pPr>
      <w:r w:rsidRPr="00F4243B">
        <w:rPr>
          <w:bCs/>
          <w:lang w:val="vi-VN"/>
        </w:rPr>
        <w:t>Một hạn chế quan trọng của Nghị định 63/2010/NĐ-CP là cơ chế trách nhiệm và giải trình trong kiểm soát, thực hiện thủ tục hành chính còn mang tính hình thức, chưa gắn với kết quả thực chất.</w:t>
      </w:r>
      <w:r w:rsidRPr="00F4243B">
        <w:rPr>
          <w:lang w:val="vi-VN"/>
        </w:rPr>
        <w:t xml:space="preserve"> Mặc dù các Điều 18, 19 và 20 đã quy định trách nhiệm của cơ quan, người đứng đầu và cán bộ, công chức trong tổ chức thực hiện thủ tục hành chính, nhưng các quy định này chủ yếu mang tính hành chính – đạo đức, thiên về nghĩa vụ chung mà chưa được cụ thể hóa thành các tiêu chí định lượng để đánh giá chất lượng, hiệu quả giải quyết thủ tục.</w:t>
      </w:r>
    </w:p>
    <w:p w14:paraId="2B15DB5A" w14:textId="77777777" w:rsidR="00B06231" w:rsidRPr="00F4243B" w:rsidRDefault="00B06231" w:rsidP="00F4243B">
      <w:pPr>
        <w:spacing w:before="120" w:line="288" w:lineRule="auto"/>
        <w:ind w:firstLine="720"/>
        <w:jc w:val="both"/>
        <w:rPr>
          <w:lang w:val="vi-VN"/>
        </w:rPr>
      </w:pPr>
      <w:r w:rsidRPr="00F4243B">
        <w:rPr>
          <w:lang w:val="vi-VN"/>
        </w:rPr>
        <w:t>Đồng thời, Điều 33 về xử lý vi phạm tuy có đề cập đến trách nhiệm pháp lý, nhưng chưa thiết lập cơ chế chế tài đủ mạnh gắn với việc ban hành hoặc duy trì các thủ tục hành chính không hợp lý, không hiệu quả. Đặc biệt, Nghị định chưa tạo ra mối liên kết giữa trách nhiệm của cơ quan ban hành thủ tục với chi phí tuân thủ mà thủ tục đó gây ra cho người dân, doanh nghiệp.</w:t>
      </w:r>
    </w:p>
    <w:p w14:paraId="008CE65D" w14:textId="61BD62F9" w:rsidR="00B06231" w:rsidRPr="00F4243B" w:rsidRDefault="00B06231" w:rsidP="00F4243B">
      <w:pPr>
        <w:spacing w:before="120" w:line="288" w:lineRule="auto"/>
        <w:ind w:firstLine="720"/>
        <w:jc w:val="both"/>
        <w:rPr>
          <w:lang w:val="vi-VN"/>
        </w:rPr>
      </w:pPr>
      <w:r w:rsidRPr="00F4243B">
        <w:rPr>
          <w:lang w:val="vi-VN"/>
        </w:rPr>
        <w:t>Về lý luận, quản trị công hiện đại đòi hỏi trách nhiệm g</w:t>
      </w:r>
      <w:r w:rsidR="0057619E" w:rsidRPr="00F4243B">
        <w:rPr>
          <w:lang w:val="vi-VN"/>
        </w:rPr>
        <w:t>iải trình phải dựa trên kết quả</w:t>
      </w:r>
      <w:r w:rsidR="0057619E" w:rsidRPr="00F4243B">
        <w:t xml:space="preserve">, </w:t>
      </w:r>
      <w:r w:rsidRPr="00F4243B">
        <w:rPr>
          <w:lang w:val="vi-VN"/>
        </w:rPr>
        <w:t>trong đó cơ quan nhà nước phải chịu trách nhiệm không chỉ về việc “làm đúng quy trình” mà còn về “kết quả đạt được” và tác động của chính sách. Tuy nhiên, cách tiếp cận này chưa được thể chế hóa trong Nghị định 63</w:t>
      </w:r>
      <w:r w:rsidR="00D344F3" w:rsidRPr="00F4243B">
        <w:t>/2010/NĐ-CP</w:t>
      </w:r>
      <w:r w:rsidRPr="00F4243B">
        <w:rPr>
          <w:lang w:val="vi-VN"/>
        </w:rPr>
        <w:t>.</w:t>
      </w:r>
    </w:p>
    <w:p w14:paraId="386E2905" w14:textId="77777777" w:rsidR="00B06231" w:rsidRPr="00F4243B" w:rsidRDefault="00B06231" w:rsidP="00F4243B">
      <w:pPr>
        <w:spacing w:before="120" w:line="288" w:lineRule="auto"/>
        <w:ind w:firstLine="720"/>
        <w:jc w:val="both"/>
        <w:rPr>
          <w:lang w:val="vi-VN"/>
        </w:rPr>
      </w:pPr>
      <w:r w:rsidRPr="00F4243B">
        <w:rPr>
          <w:lang w:val="vi-VN"/>
        </w:rPr>
        <w:t xml:space="preserve">Hệ quả trong thực tiễn là cơ quan ban hành và thực hiện thủ tục hành chính chưa chịu áp lực đầy đủ về chất lượng và chi phí của thủ tục, dẫn đến động lực </w:t>
      </w:r>
      <w:r w:rsidRPr="00F4243B">
        <w:rPr>
          <w:lang w:val="vi-VN"/>
        </w:rPr>
        <w:lastRenderedPageBreak/>
        <w:t>cắt giảm, đơn giản hóa thủ tục còn hạn chế; trách nhiệm giải trình chưa rõ ràng, làm giảm hiệu quả của công tác kiểm soát thủ tục hành chính và cải cách hành chính nói chung.</w:t>
      </w:r>
    </w:p>
    <w:p w14:paraId="7528773C" w14:textId="02957632" w:rsidR="00B06231" w:rsidRPr="00F4243B" w:rsidRDefault="00B06231" w:rsidP="00F4243B">
      <w:pPr>
        <w:spacing w:before="120" w:line="288" w:lineRule="auto"/>
        <w:ind w:firstLine="720"/>
        <w:jc w:val="both"/>
        <w:rPr>
          <w:i/>
          <w:lang w:val="vi-VN"/>
        </w:rPr>
      </w:pPr>
      <w:r w:rsidRPr="00F4243B">
        <w:rPr>
          <w:b/>
          <w:bCs/>
          <w:i/>
          <w:lang w:val="vi-VN"/>
        </w:rPr>
        <w:t>2.</w:t>
      </w:r>
      <w:r w:rsidR="00E725F1" w:rsidRPr="00F4243B">
        <w:rPr>
          <w:b/>
          <w:bCs/>
          <w:i/>
        </w:rPr>
        <w:t>9</w:t>
      </w:r>
      <w:r w:rsidRPr="00F4243B">
        <w:rPr>
          <w:b/>
          <w:bCs/>
          <w:i/>
          <w:lang w:val="vi-VN"/>
        </w:rPr>
        <w:t>. Thiếu cơ chế tham gia thực chất của đối tượng chịu tác động</w:t>
      </w:r>
    </w:p>
    <w:p w14:paraId="2C733CF9" w14:textId="77777777" w:rsidR="00B06231" w:rsidRPr="00F4243B" w:rsidRDefault="00B06231" w:rsidP="00F4243B">
      <w:pPr>
        <w:spacing w:before="120" w:line="288" w:lineRule="auto"/>
        <w:ind w:firstLine="720"/>
        <w:jc w:val="both"/>
        <w:rPr>
          <w:lang w:val="vi-VN"/>
        </w:rPr>
      </w:pPr>
      <w:r w:rsidRPr="00F4243B">
        <w:rPr>
          <w:bCs/>
          <w:lang w:val="vi-VN"/>
        </w:rPr>
        <w:t>Một hạn chế đáng chú ý của Nghị định 63/2010/NĐ-CP là cơ chế tham gia của người dân và doanh nghiệp trong quá trình xây dựng thủ tục hành chính còn hình thức, chưa bảo đảm tính thực chất.</w:t>
      </w:r>
      <w:r w:rsidRPr="00F4243B">
        <w:rPr>
          <w:lang w:val="vi-VN"/>
        </w:rPr>
        <w:t xml:space="preserve"> Theo quy định tại Điều 9, việc lấy ý kiến đối với quy định thủ tục hành chính chủ yếu được thực hiện thông qua các cơ quan hành chính, và chỉ trong “trường hợp cần thiết” mới tổ chức tham vấn rộng rãi đối với đối tượng chịu tác động. Đồng thời, Nghị định chưa thiết lập nghĩa vụ bắt buộc về việc công khai, giải trình và phản hồi ý kiến góp ý một cách minh bạch, có hệ thống.</w:t>
      </w:r>
    </w:p>
    <w:p w14:paraId="5BF6DFD1" w14:textId="77777777" w:rsidR="00B06231" w:rsidRPr="00F4243B" w:rsidRDefault="00B06231" w:rsidP="00F4243B">
      <w:pPr>
        <w:spacing w:before="120" w:line="288" w:lineRule="auto"/>
        <w:ind w:firstLine="720"/>
        <w:jc w:val="both"/>
        <w:rPr>
          <w:lang w:val="vi-VN"/>
        </w:rPr>
      </w:pPr>
      <w:r w:rsidRPr="00F4243B">
        <w:rPr>
          <w:lang w:val="vi-VN"/>
        </w:rPr>
        <w:t>Mặc dù Điều 22 đã mở ra cơ chế để cá nhân, tổ chức phản ánh, kiến nghị về thủ tục hành chính, nhưng cơ chế này chủ yếu mang tính hậu kiểm, tức là diễn ra sau khi thủ tục đã được ban hành, thay vì tham gia từ sớm trong quá trình hình thành chính sách. Nghị định cũng chưa quy định cơ chế tham vấn chuyên sâu với cộng đồng doanh nghiệp, chưa có yêu cầu đánh giá độc lập từ các tổ chức bên ngoài, dẫn đến thiếu kênh phản biện khách quan.</w:t>
      </w:r>
    </w:p>
    <w:p w14:paraId="28F53A15" w14:textId="77777777" w:rsidR="00B06231" w:rsidRPr="00F4243B" w:rsidRDefault="00B06231" w:rsidP="00F4243B">
      <w:pPr>
        <w:spacing w:before="120" w:line="288" w:lineRule="auto"/>
        <w:ind w:firstLine="720"/>
        <w:jc w:val="both"/>
        <w:rPr>
          <w:lang w:val="vi-VN"/>
        </w:rPr>
      </w:pPr>
      <w:r w:rsidRPr="00F4243B">
        <w:rPr>
          <w:lang w:val="vi-VN"/>
        </w:rPr>
        <w:t>Về lý luận, quản trị hiện đại đòi hỏi quá trình xây dựng chính sách phải dựa trên sự tham gia thực chất của các bên liên quan (stakeholder engagement), trong đó ý kiến của đối tượng chịu tác động phải được tích hợp vào quá trình thiết kế chính sách một cách có hệ thống. Tuy nhiên, cách tiếp cận này chưa được thể chế hóa đầy đủ trong Nghị định 63.</w:t>
      </w:r>
    </w:p>
    <w:p w14:paraId="62C1F358" w14:textId="753FC2F3" w:rsidR="00B06231" w:rsidRPr="00F4243B" w:rsidRDefault="00B06231" w:rsidP="00F4243B">
      <w:pPr>
        <w:spacing w:before="120" w:line="288" w:lineRule="auto"/>
        <w:ind w:firstLine="720"/>
        <w:jc w:val="both"/>
        <w:rPr>
          <w:lang w:val="vi-VN"/>
        </w:rPr>
      </w:pPr>
      <w:r w:rsidRPr="00F4243B">
        <w:rPr>
          <w:lang w:val="vi-VN"/>
        </w:rPr>
        <w:t>Hệ quả trong thực tiễn là nhiều quy định thủ tục hành chính vẫn mang tính “nội bộ hành chính”, chưa phản ánh đầy đủ nhu cầu và điều kiện thực tế của người dân, doanh nghiệp, từ đó làm gia tăng khoảng cách giữa quy định và thực tiễn thực thi, đồng thời làm giảm hiệu quả và tính khả thi của chính sách.</w:t>
      </w:r>
    </w:p>
    <w:p w14:paraId="70AE542B" w14:textId="77777777" w:rsidR="0057619E" w:rsidRPr="00F4243B" w:rsidRDefault="0057619E" w:rsidP="00F4243B">
      <w:pPr>
        <w:spacing w:before="120" w:line="288" w:lineRule="auto"/>
        <w:ind w:firstLine="720"/>
        <w:jc w:val="both"/>
        <w:rPr>
          <w:lang w:val="vi-VN"/>
        </w:rPr>
      </w:pPr>
      <w:r w:rsidRPr="00F4243B">
        <w:rPr>
          <w:lang w:val="vi-VN"/>
        </w:rPr>
        <w:t>Trong bối cảnh mới, khi nền kinh tế đang chuyển mạnh sang mô hình kinh tế số, đổi mới sáng tạo và hội nhập quốc tế sâu rộng, khuôn khổ pháp lý về kiểm soát thủ tục hành chính cần được nâng cấp tương ứng cả về tư duy và công cụ thực thi. Tổng hợp các hạn chế nêu trên cho thấy Nghị định số 63/2010/NĐ-CP tuy đã hoàn thành tốt vai trò trong giai đoạn đầu cải cách, nhưng hiện nay đã không còn đáp ứng đầy đủ yêu cầu của mô hình quản trị hiện đại.</w:t>
      </w:r>
    </w:p>
    <w:p w14:paraId="6ADFF0CD" w14:textId="77777777" w:rsidR="0057619E" w:rsidRPr="00F4243B" w:rsidRDefault="0057619E" w:rsidP="00F4243B">
      <w:pPr>
        <w:spacing w:before="120" w:line="288" w:lineRule="auto"/>
        <w:ind w:firstLine="720"/>
        <w:jc w:val="both"/>
        <w:rPr>
          <w:lang w:val="vi-VN"/>
        </w:rPr>
      </w:pPr>
      <w:r w:rsidRPr="00F4243B">
        <w:rPr>
          <w:lang w:val="vi-VN"/>
        </w:rPr>
        <w:t xml:space="preserve">Do đó, yêu cầu đặt ra không chỉ là sửa đổi kỹ thuật, mà cần bổ sung các công cụ quản trị đủ mạnh và hiện đại, tiệm cận với thông lệ quốc tế, đặc biệt là </w:t>
      </w:r>
      <w:r w:rsidRPr="00F4243B">
        <w:rPr>
          <w:lang w:val="vi-VN"/>
        </w:rPr>
        <w:lastRenderedPageBreak/>
        <w:t>các nguyên tắc và phương pháp của các nước OECD như quản lý theo rủi ro, đánh giá chi phí – lợi ích, chuyển từ tiền kiểm sang hậu kiểm, quản trị dựa trên dữ liệu và trách nhiệm giải trình dựa trên kết quả. Đồng thời, việc hoàn thiện Nghị định cần bám sát các chủ trương, định hướng lớn của Đảng về đổi mới phương thức quản trị quốc gia, thúc đẩy chuyển đổi số, cải thiện môi trường đầu tư kinh doanh và xóa bỏ cơ chế “xin – cho”.</w:t>
      </w:r>
    </w:p>
    <w:p w14:paraId="373C1FE9" w14:textId="7A2E1AF5" w:rsidR="00B06231" w:rsidRPr="00F4243B" w:rsidRDefault="0057619E" w:rsidP="00F4243B">
      <w:pPr>
        <w:spacing w:before="120" w:line="288" w:lineRule="auto"/>
        <w:ind w:firstLine="720"/>
        <w:jc w:val="both"/>
        <w:rPr>
          <w:lang w:val="vi-VN"/>
        </w:rPr>
      </w:pPr>
      <w:r w:rsidRPr="00F4243B">
        <w:rPr>
          <w:lang w:val="vi-VN"/>
        </w:rPr>
        <w:t>Việc sửa đổi, bổ sung Nghị định 63 vì vậy cần được thực hiện theo hướng chuyển từ mô hình “kiểm soát thủ tục” sang “quản trị thủ tục hành chính hiện đại”, trong đó Nhà nước không chỉ bảo đảm tính hợp pháp của thủ tục mà còn tối ưu hóa hiệu quả quản lý, giảm chi phí tuân thủ và tạo điều kiện thuận lợi tối đa cho người dân, doanh nghiệp. Đây là điều kiện cần thiết để xây dựng nền hành chính hiện đại, minh bạch, hiệu quả, đồng thời nâng cao năng lực cạnh tranh quốc gia trong bối cảnh phát triển mới.</w:t>
      </w:r>
    </w:p>
    <w:p w14:paraId="09E004D7" w14:textId="77777777" w:rsidR="00DD4A3F" w:rsidRPr="00F4243B" w:rsidRDefault="00DD4A3F" w:rsidP="00F4243B">
      <w:pPr>
        <w:spacing w:before="120" w:line="288" w:lineRule="auto"/>
        <w:ind w:firstLine="567"/>
        <w:jc w:val="both"/>
        <w:rPr>
          <w:b/>
          <w:lang w:val="vi-VN"/>
        </w:rPr>
      </w:pPr>
      <w:r w:rsidRPr="00F4243B">
        <w:rPr>
          <w:b/>
          <w:lang w:val="vi-VN"/>
        </w:rPr>
        <w:t>3. Nguyên nhân tồn tại, hạn chế</w:t>
      </w:r>
    </w:p>
    <w:p w14:paraId="72265E61" w14:textId="77777777" w:rsidR="00EB42BA" w:rsidRPr="00F4243B" w:rsidRDefault="009208F8"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T</w:t>
      </w:r>
      <w:r w:rsidR="00EB42BA" w:rsidRPr="00F4243B">
        <w:rPr>
          <w:sz w:val="28"/>
          <w:szCs w:val="28"/>
          <w:lang w:val="vi-VN"/>
        </w:rPr>
        <w:t xml:space="preserve">rước hết, nguyên nhân cốt lõi xuất phát từ </w:t>
      </w:r>
      <w:r w:rsidR="00EB42BA" w:rsidRPr="00F4243B">
        <w:rPr>
          <w:rStyle w:val="Strong"/>
          <w:b w:val="0"/>
          <w:sz w:val="28"/>
          <w:szCs w:val="28"/>
          <w:lang w:val="vi-VN"/>
        </w:rPr>
        <w:t>tư duy và mô hình quản trị chưa được chuyển đổi kịp thời</w:t>
      </w:r>
      <w:r w:rsidR="00EB42BA" w:rsidRPr="00F4243B">
        <w:rPr>
          <w:b/>
          <w:sz w:val="28"/>
          <w:szCs w:val="28"/>
          <w:lang w:val="vi-VN"/>
        </w:rPr>
        <w:t>.</w:t>
      </w:r>
      <w:r w:rsidR="00EB42BA" w:rsidRPr="00F4243B">
        <w:rPr>
          <w:sz w:val="28"/>
          <w:szCs w:val="28"/>
          <w:lang w:val="vi-VN"/>
        </w:rPr>
        <w:t xml:space="preserve"> Cách tiếp cận kiểm soát thủ tục hành chính hiện nay vẫn mang đậm dấu ấn của giai đoạn cải cách ban đầu, chủ yếu thiên về bảo đảm tính tuân thủ, kiểm soát tiền kiểm và chuẩn hóa hình thức, trong khi chưa chuyển sang mô hình quản trị hiện đại dựa trên quản lý rủi ro, tối ưu hóa chi phí – lợi ích và sử dụng dữ liệu làm nền tảng ra quyết định theo thông lệ của </w:t>
      </w:r>
      <w:r w:rsidR="00EB42BA" w:rsidRPr="00F4243B">
        <w:rPr>
          <w:rStyle w:val="whitespace-normal"/>
          <w:sz w:val="28"/>
          <w:szCs w:val="28"/>
          <w:lang w:val="vi-VN"/>
        </w:rPr>
        <w:t>OECD</w:t>
      </w:r>
      <w:r w:rsidR="00EB42BA" w:rsidRPr="00F4243B">
        <w:rPr>
          <w:sz w:val="28"/>
          <w:szCs w:val="28"/>
          <w:lang w:val="vi-VN"/>
        </w:rPr>
        <w:t>. Sự chậm trễ trong chuyển đổi tư duy này là nguyên nhân mang tính gốc rễ, chi phối hầu hết các hạn chế như việc lạm dụng cơ chế cấp phép, thiếu phân loại rủi ro và tình trạng đánh giá tác động còn hình thức.</w:t>
      </w:r>
    </w:p>
    <w:p w14:paraId="44FFAADF" w14:textId="77777777" w:rsidR="00EB42BA" w:rsidRPr="00F4243B" w:rsidRDefault="00EB42BA"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 xml:space="preserve">Thứ hai, nguyên nhân quan trọng nằm ở </w:t>
      </w:r>
      <w:r w:rsidRPr="00F4243B">
        <w:rPr>
          <w:rStyle w:val="Strong"/>
          <w:b w:val="0"/>
          <w:sz w:val="28"/>
          <w:szCs w:val="28"/>
          <w:lang w:val="vi-VN"/>
        </w:rPr>
        <w:t>khuôn khổ thể chế và pháp lý chưa đầy đủ, chưa tương xứng với vai trò của thủ tục hành chính</w:t>
      </w:r>
      <w:r w:rsidRPr="00F4243B">
        <w:rPr>
          <w:sz w:val="28"/>
          <w:szCs w:val="28"/>
          <w:lang w:val="vi-VN"/>
        </w:rPr>
        <w:t xml:space="preserve"> trong nền kinh tế. Cơ chế kiểm soát thủ tục hành chính chủ yếu được thiết lập ở cấp nghị định, trong khi các quy định về thủ tục hành chính lại phân tán trên toàn bộ hệ thống pháp luật với hiệu lực pháp lý cao hơn. Đồng thời, nhiều nguyên lý quản trị hiện đại như quản lý theo rủi ro, hậu kiểm, quản lý vòng đời chính sách hay quản trị dựa trên dữ liệu chưa được thể chế hóa đầy đủ. Điều này dẫn đến việc hệ thống kiểm soát thủ tục hành chính mới dừng ở phạm vi kiểm soát từng thủ tục riêng lẻ, chưa bao quát toàn bộ chuỗi quy trình quản trị và chưa đủ sức điều chỉnh hành vi ban hành chính sách.</w:t>
      </w:r>
    </w:p>
    <w:p w14:paraId="1F4AFBC4" w14:textId="77777777" w:rsidR="00EB42BA" w:rsidRPr="00F4243B" w:rsidRDefault="00EB42BA"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 xml:space="preserve">Thứ ba, các </w:t>
      </w:r>
      <w:r w:rsidRPr="00F4243B">
        <w:rPr>
          <w:rStyle w:val="Strong"/>
          <w:b w:val="0"/>
          <w:sz w:val="28"/>
          <w:szCs w:val="28"/>
          <w:lang w:val="vi-VN"/>
        </w:rPr>
        <w:t>công cụ, phương pháp và hạ tầng phục vụ quản trị thủ tục hành chính chưa theo kịp yêu cầu phát triển</w:t>
      </w:r>
      <w:r w:rsidRPr="00F4243B">
        <w:rPr>
          <w:sz w:val="28"/>
          <w:szCs w:val="28"/>
          <w:lang w:val="vi-VN"/>
        </w:rPr>
        <w:t xml:space="preserve">. Các công cụ quan trọng như đánh giá tác động thủ tục hành chính (RIA) chưa trở thành cơ chế quyết định trong xây dựng </w:t>
      </w:r>
      <w:r w:rsidRPr="00F4243B">
        <w:rPr>
          <w:sz w:val="28"/>
          <w:szCs w:val="28"/>
          <w:lang w:val="vi-VN"/>
        </w:rPr>
        <w:lastRenderedPageBreak/>
        <w:t>chính sách; việc đo lường chi phí tuân thủ, phân tích định lượng và so sánh phương án còn hạn chế; cơ chế quản lý vòng đời thủ tục hành chính chưa được thiết lập đầy đủ. Bên cạnh đó, hạ tầng dữ liệu và cơ chế chia sẻ, kết nối thông tin giữa các cơ quan nhà nước chưa hoàn thiện, làm cho hệ thống thủ tục hành chính vẫn vận hành chủ yếu theo logic hồ sơ thay vì dựa trên dữ liệu. Những hạn chế này khiến hoạt động quản lý vẫn mang tính kinh nghiệm hành chính hơn là quản trị dựa trên bằng chứng.</w:t>
      </w:r>
    </w:p>
    <w:p w14:paraId="1AA93E03" w14:textId="77777777" w:rsidR="00EB42BA" w:rsidRPr="00F4243B" w:rsidRDefault="00EB42BA"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 xml:space="preserve">Thứ tư, nguyên nhân không kém phần quan trọng là </w:t>
      </w:r>
      <w:r w:rsidRPr="00F4243B">
        <w:rPr>
          <w:rStyle w:val="Strong"/>
          <w:b w:val="0"/>
          <w:sz w:val="28"/>
          <w:szCs w:val="28"/>
          <w:lang w:val="vi-VN"/>
        </w:rPr>
        <w:t>cơ chế tổ chức thực thi và động lực cải cách chưa đủ mạnh</w:t>
      </w:r>
      <w:r w:rsidRPr="00F4243B">
        <w:rPr>
          <w:sz w:val="28"/>
          <w:szCs w:val="28"/>
          <w:lang w:val="vi-VN"/>
        </w:rPr>
        <w:t>. Trách nhiệm giải trình của cơ quan ban hành và thực thi thủ tục hành chính chưa gắn chặt với kết quả đầu ra và chi phí xã hội; thiếu các chế tài đủ mạnh đối với việc ban hành hoặc duy trì các thủ tục không hợp lý; cơ chế phân công, phân cấp còn phân tán, thiếu kiểm soát thống nhất. Đồng thời, sự tham gia của người dân và doanh nghiệp trong quá trình xây dựng chính sách còn mang tính hình thức, trong khi cơ chế giám sát và bảo đảm thực thi các phương án cải cách chưa hiệu quả. Điều này dẫn đến thực tế cải cách thủ tục hành chính vẫn phụ thuộc nhiều vào các đợt chỉ đạo hành chính, chưa trở thành một cơ chế vận hành thường xuyên, tự động của hệ thống.</w:t>
      </w:r>
    </w:p>
    <w:p w14:paraId="69BCA838" w14:textId="77777777" w:rsidR="003512F8" w:rsidRPr="00F4243B" w:rsidRDefault="00EB42BA"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Tổng thể, các nguyên nhân trên phản ánh một vấn đề mang tính nền tảng là sự chậm trễ trong chuyển đổi từ mô hình “kiểm soát thủ tục hành chính” sang mô hình “quản trị thủ tục hành chính hiện đại”, đặt ra yêu cầu cấp thiết phải đổi mới toàn diện khuôn khổ pháp lý và phương thức quản trị trong giai đoạn tới.</w:t>
      </w:r>
    </w:p>
    <w:p w14:paraId="058E4FDA" w14:textId="77777777" w:rsidR="00772E18" w:rsidRPr="00F4243B" w:rsidRDefault="00772E18" w:rsidP="00F4243B">
      <w:pPr>
        <w:pStyle w:val="NormalWeb"/>
        <w:spacing w:before="120" w:beforeAutospacing="0" w:after="0" w:afterAutospacing="0" w:line="288" w:lineRule="auto"/>
        <w:ind w:firstLine="567"/>
        <w:jc w:val="both"/>
        <w:rPr>
          <w:sz w:val="28"/>
          <w:szCs w:val="28"/>
          <w:lang w:val="vi-VN"/>
        </w:rPr>
      </w:pPr>
      <w:r w:rsidRPr="00F4243B">
        <w:rPr>
          <w:rStyle w:val="Strong"/>
          <w:sz w:val="28"/>
          <w:szCs w:val="28"/>
          <w:lang w:val="vi-VN"/>
        </w:rPr>
        <w:t>III. ĐỊNH HƯỚNG HOÀN THIỆN</w:t>
      </w:r>
    </w:p>
    <w:p w14:paraId="5E7C56E8" w14:textId="31BD5CEE" w:rsidR="00F96921" w:rsidRPr="00F4243B" w:rsidRDefault="00772E18"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Trong bối cảnh nền kinh tế chuyển mạnh sang mô hình số, đổi mới sáng tạo và hội nhập sâu rộng, việc hoàn thiện khuôn khổ pháp lý về kiểm soát thủ tục hành chính cần được định hướng theo cách tiếp cận quản trị hiện đại, vượt ra khỏi giới hạn của mô hình “kiểm soát thủ tục” truyền thống. Trọng tâm là chuyển đổi sang mô hình “quản trị thủ tục hành chính” dựa trên nguyên tắc lấy người dân, doanh nghiệp làm trung tâm; lấy hiệu quả, chi phí tuân thủ và chất lượng phục vụ làm thước đo; đồng thời sử dụng dữ liệu và công nghệ số làm nền tảng vận hành. Đây không chỉ là yêu cầu cải cách kỹ thuật mà là sự thay đổi có tính cấu trúc trong tư duy quản lý nhà nước, nhằm bảo đảm cân bằng giữa yêu cầu quản lý và thúc đẩy tự do kinh doanh, đổi mới sáng tạo.</w:t>
      </w:r>
    </w:p>
    <w:p w14:paraId="0F447F14" w14:textId="2F3D204E" w:rsidR="00F96921" w:rsidRPr="00F4243B" w:rsidRDefault="00F96921" w:rsidP="00F4243B">
      <w:pPr>
        <w:spacing w:before="120" w:line="288" w:lineRule="auto"/>
        <w:ind w:firstLine="567"/>
      </w:pPr>
      <w:r w:rsidRPr="00F4243B">
        <w:rPr>
          <w:b/>
          <w:bCs/>
        </w:rPr>
        <w:t>1.</w:t>
      </w:r>
      <w:r w:rsidR="0043743F" w:rsidRPr="00F4243B">
        <w:rPr>
          <w:b/>
          <w:bCs/>
        </w:rPr>
        <w:t xml:space="preserve"> </w:t>
      </w:r>
      <w:r w:rsidRPr="00F4243B">
        <w:rPr>
          <w:b/>
          <w:bCs/>
        </w:rPr>
        <w:t>Mở rộng phạm vi điều chỉnh của Nghị định theo hướng bao quát cả thủ tục hành chính nội bộ</w:t>
      </w:r>
    </w:p>
    <w:p w14:paraId="6334DC63" w14:textId="7E61F88A" w:rsidR="00F96921" w:rsidRPr="00F4243B" w:rsidRDefault="00F96921" w:rsidP="00F4243B">
      <w:pPr>
        <w:spacing w:before="120" w:line="288" w:lineRule="auto"/>
        <w:ind w:firstLine="567"/>
        <w:jc w:val="both"/>
      </w:pPr>
      <w:r w:rsidRPr="00F4243B">
        <w:t xml:space="preserve">Trên cơ sở bất cập về phạm vi điều chỉnh còn hẹp, việc sửa đổi Nghị định số 63/2010/NĐ-CP cần theo hướng mở rộng đối tượng và phạm vi kiểm soát, không </w:t>
      </w:r>
      <w:r w:rsidRPr="00F4243B">
        <w:lastRenderedPageBreak/>
        <w:t>chỉ giới hạn đối với thủ tục hành chính giữa cơ quan nhà nước với người dân, doanh nghiệp, mà bao quát cả các thủ tục hành chính nội bộ trong hệ thống cơ quan nhà nước.</w:t>
      </w:r>
    </w:p>
    <w:p w14:paraId="65DD9D01" w14:textId="451F828F" w:rsidR="00E725F1" w:rsidRPr="00F4243B" w:rsidRDefault="00BF2B69" w:rsidP="00F4243B">
      <w:pPr>
        <w:pStyle w:val="NormalWeb"/>
        <w:spacing w:before="120" w:beforeAutospacing="0" w:after="0" w:afterAutospacing="0" w:line="288" w:lineRule="auto"/>
        <w:ind w:firstLine="567"/>
        <w:jc w:val="both"/>
        <w:rPr>
          <w:sz w:val="28"/>
          <w:szCs w:val="28"/>
        </w:rPr>
      </w:pPr>
      <w:r w:rsidRPr="00F4243B">
        <w:rPr>
          <w:b/>
          <w:bCs/>
          <w:sz w:val="28"/>
          <w:szCs w:val="28"/>
        </w:rPr>
        <w:t>2.</w:t>
      </w:r>
      <w:r w:rsidR="0043743F" w:rsidRPr="00F4243B">
        <w:rPr>
          <w:b/>
          <w:bCs/>
          <w:sz w:val="28"/>
          <w:szCs w:val="28"/>
        </w:rPr>
        <w:t xml:space="preserve"> </w:t>
      </w:r>
      <w:r w:rsidR="00DE4FBD" w:rsidRPr="00F4243B">
        <w:rPr>
          <w:b/>
          <w:bCs/>
          <w:sz w:val="28"/>
          <w:szCs w:val="28"/>
        </w:rPr>
        <w:t>Mở rộng tiêu chí</w:t>
      </w:r>
      <w:r w:rsidR="00B73F4E" w:rsidRPr="00F4243B">
        <w:rPr>
          <w:b/>
          <w:bCs/>
          <w:sz w:val="28"/>
          <w:szCs w:val="28"/>
          <w:lang w:val="vi-VN"/>
        </w:rPr>
        <w:t xml:space="preserve"> đánh giá tác động thủ tục hành chính</w:t>
      </w:r>
      <w:r w:rsidRPr="00F4243B">
        <w:rPr>
          <w:b/>
          <w:bCs/>
          <w:sz w:val="28"/>
          <w:szCs w:val="28"/>
        </w:rPr>
        <w:t xml:space="preserve"> theo thông lệ quốc tế</w:t>
      </w:r>
    </w:p>
    <w:p w14:paraId="2A92D332" w14:textId="25E210F0" w:rsidR="00B73F4E" w:rsidRPr="00F4243B" w:rsidRDefault="00B73F4E"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Việc sửa đổi Nghị định 63</w:t>
      </w:r>
      <w:r w:rsidR="00E725F1" w:rsidRPr="00F4243B">
        <w:rPr>
          <w:sz w:val="28"/>
          <w:szCs w:val="28"/>
        </w:rPr>
        <w:t>/2010/NĐ</w:t>
      </w:r>
      <w:r w:rsidR="00E725F1" w:rsidRPr="00F4243B">
        <w:rPr>
          <w:sz w:val="28"/>
          <w:szCs w:val="28"/>
          <w:lang w:val="vi-VN"/>
        </w:rPr>
        <w:t>-</w:t>
      </w:r>
      <w:r w:rsidR="00E725F1" w:rsidRPr="00F4243B">
        <w:rPr>
          <w:sz w:val="28"/>
          <w:szCs w:val="28"/>
        </w:rPr>
        <w:t>CP</w:t>
      </w:r>
      <w:r w:rsidRPr="00F4243B">
        <w:rPr>
          <w:sz w:val="28"/>
          <w:szCs w:val="28"/>
          <w:lang w:val="vi-VN"/>
        </w:rPr>
        <w:t xml:space="preserve"> cần </w:t>
      </w:r>
      <w:r w:rsidR="00E725F1" w:rsidRPr="00F4243B">
        <w:rPr>
          <w:sz w:val="28"/>
          <w:szCs w:val="28"/>
          <w:lang w:val="vi-VN"/>
        </w:rPr>
        <w:t>tiếp cận theo hướng nâng cấp</w:t>
      </w:r>
      <w:r w:rsidR="00E725F1" w:rsidRPr="00F4243B">
        <w:rPr>
          <w:sz w:val="28"/>
          <w:szCs w:val="28"/>
        </w:rPr>
        <w:t xml:space="preserve">, mở rộng RIA </w:t>
      </w:r>
      <w:r w:rsidRPr="00F4243B">
        <w:rPr>
          <w:sz w:val="28"/>
          <w:szCs w:val="28"/>
          <w:lang w:val="vi-VN"/>
        </w:rPr>
        <w:t xml:space="preserve">tích hợp các nguyên lý quản trị hiện đại. Trước hết là </w:t>
      </w:r>
      <w:r w:rsidRPr="00F4243B">
        <w:rPr>
          <w:bCs/>
          <w:sz w:val="28"/>
          <w:szCs w:val="28"/>
          <w:lang w:val="vi-VN"/>
        </w:rPr>
        <w:t>nguyên lý quản lý theo rủi ro</w:t>
      </w:r>
      <w:r w:rsidRPr="00F4243B">
        <w:rPr>
          <w:sz w:val="28"/>
          <w:szCs w:val="28"/>
          <w:lang w:val="vi-VN"/>
        </w:rPr>
        <w:t xml:space="preserve">, yêu cầu phân loại mức độ rủi ro của hoạt động để lựa chọn công cụ quản lý tương xứng, thay vì áp dụng cơ chế cấp phép một cách phổ biến. Thứ hai là </w:t>
      </w:r>
      <w:r w:rsidRPr="00F4243B">
        <w:rPr>
          <w:bCs/>
          <w:sz w:val="28"/>
          <w:szCs w:val="28"/>
          <w:lang w:val="vi-VN"/>
        </w:rPr>
        <w:t>nguyên lý bảo đảm cạnh tranh</w:t>
      </w:r>
      <w:r w:rsidRPr="00F4243B">
        <w:rPr>
          <w:sz w:val="28"/>
          <w:szCs w:val="28"/>
          <w:lang w:val="vi-VN"/>
        </w:rPr>
        <w:t xml:space="preserve">, đặc biệt trong lĩnh vực sản xuất, kinh doanh, nhằm kiểm soát các rào cản gia nhập thị trường và tác động đến đổi mới sáng tạo. Thứ ba là </w:t>
      </w:r>
      <w:r w:rsidRPr="00F4243B">
        <w:rPr>
          <w:bCs/>
          <w:sz w:val="28"/>
          <w:szCs w:val="28"/>
          <w:lang w:val="vi-VN"/>
        </w:rPr>
        <w:t>nguyên lý thiết kế số</w:t>
      </w:r>
      <w:r w:rsidRPr="00F4243B">
        <w:rPr>
          <w:sz w:val="28"/>
          <w:szCs w:val="28"/>
          <w:lang w:val="vi-VN"/>
        </w:rPr>
        <w:t>, theo đó thủ tục phải được thiết kế ngay từ đầu để có khả năng số hóa, tái sử dụng dữ liệu và tích hợp liên thông. Quan trọng hơn, cần thiết lập cơ chế ràng buộc thực chất giữa kết quả RIA với quyết định ban hành chính sách, bảo đảm rằng chỉ những thủ tục có lợi ích vượt trội so với chi phí mới được chấp thuận. Đây chính là bước chuyển từ “đánh giá để hợp thức hóa” sang “đánh giá để quyết định”, phù hợp với chuẩn mực quản trị dựa trên bằng chứng.</w:t>
      </w:r>
    </w:p>
    <w:p w14:paraId="705B3A56" w14:textId="490BE0C7" w:rsidR="009E1B32" w:rsidRPr="00F4243B" w:rsidRDefault="00F96921" w:rsidP="00F4243B">
      <w:pPr>
        <w:pStyle w:val="NormalWeb"/>
        <w:spacing w:before="120" w:beforeAutospacing="0" w:after="0" w:afterAutospacing="0" w:line="288" w:lineRule="auto"/>
        <w:ind w:left="567"/>
        <w:jc w:val="both"/>
        <w:rPr>
          <w:b/>
          <w:bCs/>
          <w:sz w:val="28"/>
          <w:szCs w:val="28"/>
          <w:lang w:val="vi-VN"/>
        </w:rPr>
      </w:pPr>
      <w:r w:rsidRPr="00F4243B">
        <w:rPr>
          <w:b/>
          <w:bCs/>
          <w:sz w:val="28"/>
          <w:szCs w:val="28"/>
        </w:rPr>
        <w:t>2.</w:t>
      </w:r>
      <w:r w:rsidR="00BF2B69" w:rsidRPr="00F4243B">
        <w:rPr>
          <w:b/>
          <w:bCs/>
          <w:sz w:val="28"/>
          <w:szCs w:val="28"/>
        </w:rPr>
        <w:t xml:space="preserve"> </w:t>
      </w:r>
      <w:r w:rsidR="00DE4FBD" w:rsidRPr="00F4243B">
        <w:rPr>
          <w:b/>
          <w:bCs/>
          <w:sz w:val="28"/>
          <w:szCs w:val="28"/>
          <w:lang w:val="vi-VN"/>
        </w:rPr>
        <w:t>Đ</w:t>
      </w:r>
      <w:r w:rsidR="00DE4FBD" w:rsidRPr="00F4243B">
        <w:rPr>
          <w:b/>
          <w:bCs/>
          <w:sz w:val="28"/>
          <w:szCs w:val="28"/>
        </w:rPr>
        <w:t>ổi mới</w:t>
      </w:r>
      <w:r w:rsidR="00B73F4E" w:rsidRPr="00F4243B">
        <w:rPr>
          <w:b/>
          <w:bCs/>
          <w:sz w:val="28"/>
          <w:szCs w:val="28"/>
          <w:lang w:val="vi-VN"/>
        </w:rPr>
        <w:t xml:space="preserve"> rà soát thủ tục hành </w:t>
      </w:r>
      <w:r w:rsidR="009E1B32" w:rsidRPr="00F4243B">
        <w:rPr>
          <w:b/>
          <w:bCs/>
          <w:sz w:val="28"/>
          <w:szCs w:val="28"/>
          <w:lang w:val="vi-VN"/>
        </w:rPr>
        <w:t>chính</w:t>
      </w:r>
    </w:p>
    <w:p w14:paraId="5DBCE11B" w14:textId="0FFCCD43" w:rsidR="00B73F4E" w:rsidRPr="00F4243B" w:rsidRDefault="00B73F4E"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 xml:space="preserve">Bên cạnh hoàn thiện RIA, cần tái cấu trúc hoạt động rà soát thủ tục hành chính theo hướng tiếp cận </w:t>
      </w:r>
      <w:r w:rsidRPr="00F4243B">
        <w:rPr>
          <w:bCs/>
          <w:sz w:val="28"/>
          <w:szCs w:val="28"/>
          <w:lang w:val="vi-VN"/>
        </w:rPr>
        <w:t>quản lý vòng đời chính sách</w:t>
      </w:r>
      <w:r w:rsidRPr="00F4243B">
        <w:rPr>
          <w:sz w:val="28"/>
          <w:szCs w:val="28"/>
          <w:lang w:val="vi-VN"/>
        </w:rPr>
        <w:t xml:space="preserve">, tương đồng với kinh nghiệm của OECD. Nếu trước đây rà soát chủ yếu tập trung vào tính hợp pháp và cấu trúc của thủ tục, thì trong giai đoạn mới, trọng tâm phải chuyển sang </w:t>
      </w:r>
      <w:r w:rsidRPr="00F4243B">
        <w:rPr>
          <w:bCs/>
          <w:sz w:val="28"/>
          <w:szCs w:val="28"/>
          <w:lang w:val="vi-VN"/>
        </w:rPr>
        <w:t>đánh giá hiệu quả thực thi trong thực tiễn</w:t>
      </w:r>
      <w:r w:rsidRPr="00F4243B">
        <w:rPr>
          <w:sz w:val="28"/>
          <w:szCs w:val="28"/>
          <w:lang w:val="vi-VN"/>
        </w:rPr>
        <w:t xml:space="preserve">. Theo đó, ngoài các tiêu chí truyền thống, cần bổ sung các tiêu chí mang tính vận hành như: mức độ phát sinh giao dịch thực tế; khả năng tổ chức thực hiện theo cơ chế một cửa, một đầu mối; tần suất và tính chất phản ánh, kiến nghị của người dân, doanh nghiệp; cũng như mức độ đạt được mục tiêu quản lý ban đầu so với chi phí xã hội bỏ ra. Đồng thời, cần đánh giá khả năng số hóa, liên thông và tái sử dụng dữ liệu trong quá trình thực hiện thủ tục. Cách tiếp cận này cho phép chuyển rà soát từ hoạt động mang tính định kỳ, hành chính sang một </w:t>
      </w:r>
      <w:r w:rsidRPr="00F4243B">
        <w:rPr>
          <w:bCs/>
          <w:sz w:val="28"/>
          <w:szCs w:val="28"/>
          <w:lang w:val="vi-VN"/>
        </w:rPr>
        <w:t>cơ chế đánh giá chính sách dựa trên bằng chứng thực tế</w:t>
      </w:r>
      <w:r w:rsidRPr="00F4243B">
        <w:rPr>
          <w:sz w:val="28"/>
          <w:szCs w:val="28"/>
          <w:lang w:val="vi-VN"/>
        </w:rPr>
        <w:t>, qua đó kịp thời loại bỏ các thủ tục không còn phù hợp và tối ưu hóa các thủ tục đang vận hành. Đây cũng chính là biểu hiện của sự chuyển đổi từ mô hình “kiểm soát thủ tục” sang “quản trị thủ tục hành chính hiện đại”, lấy hiệu quả và giá trị công làm thước đo trung tâm.</w:t>
      </w:r>
    </w:p>
    <w:p w14:paraId="34CD8C80" w14:textId="5F17B5BB" w:rsidR="00E946C2" w:rsidRPr="00F4243B" w:rsidRDefault="00700293" w:rsidP="00F4243B">
      <w:pPr>
        <w:pStyle w:val="NormalWeb"/>
        <w:spacing w:before="120" w:beforeAutospacing="0" w:after="0" w:afterAutospacing="0" w:line="288" w:lineRule="auto"/>
        <w:ind w:firstLine="567"/>
        <w:jc w:val="both"/>
        <w:rPr>
          <w:b/>
          <w:sz w:val="28"/>
          <w:szCs w:val="28"/>
          <w:lang w:val="vi-VN"/>
        </w:rPr>
      </w:pPr>
      <w:r w:rsidRPr="00F4243B">
        <w:rPr>
          <w:b/>
          <w:sz w:val="28"/>
          <w:szCs w:val="28"/>
          <w:lang w:val="vi-VN"/>
        </w:rPr>
        <w:lastRenderedPageBreak/>
        <w:t xml:space="preserve">3. </w:t>
      </w:r>
      <w:r w:rsidR="00FD374A" w:rsidRPr="00F4243B">
        <w:rPr>
          <w:b/>
          <w:sz w:val="28"/>
          <w:szCs w:val="28"/>
          <w:lang w:val="vi-VN"/>
        </w:rPr>
        <w:t>Đổi mới cơ chế công bố, công khai thủ tục hành chính theo hướng số hóa và tập trung</w:t>
      </w:r>
    </w:p>
    <w:p w14:paraId="2C69D7E7" w14:textId="484B66DB" w:rsidR="00FD374A" w:rsidRPr="00F4243B" w:rsidRDefault="00FD374A"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Một định hướng quan trọng trong sửa đổi Nghị định 63</w:t>
      </w:r>
      <w:r w:rsidR="009A6FB0" w:rsidRPr="00F4243B">
        <w:rPr>
          <w:sz w:val="28"/>
          <w:szCs w:val="28"/>
        </w:rPr>
        <w:t>/2010/NĐ-CP</w:t>
      </w:r>
      <w:r w:rsidRPr="00F4243B">
        <w:rPr>
          <w:sz w:val="28"/>
          <w:szCs w:val="28"/>
          <w:lang w:val="vi-VN"/>
        </w:rPr>
        <w:t xml:space="preserve"> là bãi bỏ yêu cầu công bố mang tính “địa phương hóa hình thức”, tức việc địa phương phải công bố lại toàn bộ danh mục thủ tục hành chính do bộ, ngành đã công bố. Thực tiễn cho thấy cơ chế này tạo ra khối lượng công việc rất lớn, mang tính lặp lại, trong khi không tạo thêm giá trị quản lý. Nguồn lực của đội ngũ công chức, đặc biệt tại các Trung tâm phục vụ hành chính công, bị phân tán vào việc cập nhật, công bố lại danh mục thay vì tập trung vào các nhiệm vụ có giá trị cao hơn như rà soát, tối ưu hóa và tổ chức thực thi thủ tục mới hoặc đã được sửa đổi, bổ sung.</w:t>
      </w:r>
    </w:p>
    <w:p w14:paraId="738C7934" w14:textId="77777777" w:rsidR="00FD374A" w:rsidRPr="00F4243B" w:rsidRDefault="00FD374A"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 xml:space="preserve">Quan trọng hơn, cách tiếp cận “công bố để minh bạch” vốn phù hợp với giai đoạn đầu cải cách nay đã trở nên lạc hậu trong bối cảnh chuyển đổi số. Trong mô hình quản trị hiện đại, </w:t>
      </w:r>
      <w:r w:rsidRPr="00F4243B">
        <w:rPr>
          <w:bCs/>
          <w:sz w:val="28"/>
          <w:szCs w:val="28"/>
          <w:lang w:val="vi-VN"/>
        </w:rPr>
        <w:t>minh bạch không chỉ là công bố danh mục trên giấy</w:t>
      </w:r>
      <w:r w:rsidRPr="00F4243B">
        <w:rPr>
          <w:sz w:val="28"/>
          <w:szCs w:val="28"/>
          <w:lang w:val="vi-VN"/>
        </w:rPr>
        <w:t xml:space="preserve">, mà được thể hiện thông qua khả năng truy cập, thực hiện và theo dõi thủ tục </w:t>
      </w:r>
      <w:r w:rsidRPr="00F4243B">
        <w:rPr>
          <w:bCs/>
          <w:sz w:val="28"/>
          <w:szCs w:val="28"/>
          <w:lang w:val="vi-VN"/>
        </w:rPr>
        <w:t>trực tiếp trên hệ thống số</w:t>
      </w:r>
      <w:r w:rsidRPr="00F4243B">
        <w:rPr>
          <w:sz w:val="28"/>
          <w:szCs w:val="28"/>
          <w:lang w:val="vi-VN"/>
        </w:rPr>
        <w:t>. Khi quy trình điện tử đã được thiết kế thống nhất ở cấp trung ương – từ mẫu đơn điện tử, thành phần hồ sơ, quy trình xử lý, đến kết nối và luân chuyển dữ liệu – thì bản thân hệ thống thông tin đã trở thành công cụ công khai minh bạch hiệu quả nhất.</w:t>
      </w:r>
    </w:p>
    <w:p w14:paraId="6F12BA3F" w14:textId="77777777" w:rsidR="00FD374A" w:rsidRPr="00F4243B" w:rsidRDefault="00FD374A"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 xml:space="preserve">Do đó, cần chuyển từ mô hình công bố phân tán sang </w:t>
      </w:r>
      <w:r w:rsidRPr="00F4243B">
        <w:rPr>
          <w:bCs/>
          <w:sz w:val="28"/>
          <w:szCs w:val="28"/>
          <w:lang w:val="vi-VN"/>
        </w:rPr>
        <w:t>mô hình công bố và vận hành tập trung</w:t>
      </w:r>
      <w:r w:rsidRPr="00F4243B">
        <w:rPr>
          <w:sz w:val="28"/>
          <w:szCs w:val="28"/>
          <w:lang w:val="vi-VN"/>
        </w:rPr>
        <w:t xml:space="preserve">, trong đó địa phương không cần “công bố lại” mà chỉ tổ chức thực hiện thống nhất trên nền tảng hệ thống thông tin dùng chung. Việc công khai thủ tục hành chính trong giai đoạn mới phải được hiểu là </w:t>
      </w:r>
      <w:r w:rsidRPr="00F4243B">
        <w:rPr>
          <w:bCs/>
          <w:sz w:val="28"/>
          <w:szCs w:val="28"/>
          <w:lang w:val="vi-VN"/>
        </w:rPr>
        <w:t>“công khai bằng hành động”</w:t>
      </w:r>
      <w:r w:rsidRPr="00F4243B">
        <w:rPr>
          <w:sz w:val="28"/>
          <w:szCs w:val="28"/>
          <w:lang w:val="vi-VN"/>
        </w:rPr>
        <w:t>, tức là người dân, doanh nghiệp có thể trực tiếp truy cập, thực hiện và giám sát toàn bộ quy trình thủ tục trên môi trường số, thay vì tiếp cận thông tin qua các quyết định công bố mang tính hình thức.</w:t>
      </w:r>
    </w:p>
    <w:p w14:paraId="5B09C1AD" w14:textId="42DC652F" w:rsidR="00D13695" w:rsidRPr="00F4243B" w:rsidRDefault="00FD374A"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Cách tiếp cận này không chỉ cắt giảm chi phí hành chính, loại bỏ trùng lặp, mà còn góp phần chuẩn hóa quy trình, bảo đảm tính thống nhất trên toàn quốc và tạo nền tảng cho phát triển dịch vụ công trực tuyến, liên thông dữ liệu và quản trị hành chính hiện đại.</w:t>
      </w:r>
    </w:p>
    <w:p w14:paraId="627B57B9" w14:textId="42FC585F" w:rsidR="006B2606" w:rsidRPr="00F4243B" w:rsidRDefault="00F96921" w:rsidP="00F4243B">
      <w:pPr>
        <w:pStyle w:val="NormalWeb"/>
        <w:spacing w:before="120" w:beforeAutospacing="0" w:after="0" w:afterAutospacing="0" w:line="288" w:lineRule="auto"/>
        <w:ind w:firstLine="567"/>
        <w:jc w:val="both"/>
        <w:rPr>
          <w:sz w:val="28"/>
          <w:szCs w:val="28"/>
          <w:lang w:val="vi-VN"/>
        </w:rPr>
      </w:pPr>
      <w:r w:rsidRPr="00F4243B">
        <w:rPr>
          <w:b/>
          <w:sz w:val="28"/>
          <w:szCs w:val="28"/>
          <w:lang w:val="vi-VN"/>
        </w:rPr>
        <w:t>4.</w:t>
      </w:r>
      <w:r w:rsidRPr="00F4243B">
        <w:rPr>
          <w:sz w:val="28"/>
          <w:szCs w:val="28"/>
          <w:lang w:val="vi-VN"/>
        </w:rPr>
        <w:t xml:space="preserve"> </w:t>
      </w:r>
      <w:r w:rsidR="006B2606" w:rsidRPr="00F4243B">
        <w:rPr>
          <w:b/>
          <w:bCs/>
          <w:sz w:val="28"/>
          <w:szCs w:val="28"/>
          <w:lang w:val="vi-VN"/>
        </w:rPr>
        <w:t>Bổ sung quy định về thẩm quyền quy định thủ tục hành chính</w:t>
      </w:r>
    </w:p>
    <w:p w14:paraId="30E12D4C" w14:textId="1F36E1A2" w:rsidR="006B2606" w:rsidRPr="00F4243B" w:rsidRDefault="006B2606"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 xml:space="preserve">Thẩm quyền quy định thủ tục hành chính được phân định rõ giữa trung ương và địa phương trên cơ sở phạm vi áp dụng, tính chất và mức độ tác động của thủ tục hành chính. Theo đó, đối với thủ tục hành chính có phạm vi áp dụng trên toàn quốc thì do cơ quan nhà nước ở trung ương quy định nhằm bảo đảm tính thống nhất, đồng bộ của hệ thống pháp luật; đối với thủ tục hành chính cấp phép, phải </w:t>
      </w:r>
      <w:r w:rsidRPr="00F4243B">
        <w:rPr>
          <w:sz w:val="28"/>
          <w:szCs w:val="28"/>
          <w:lang w:val="vi-VN"/>
        </w:rPr>
        <w:lastRenderedPageBreak/>
        <w:t>được quy định từ cấp nghị định trở lên, trừ trường hợp luật hoặc nghị quyết của Quốc hội có quy định khác.</w:t>
      </w:r>
    </w:p>
    <w:p w14:paraId="49939553" w14:textId="19F0EFD4" w:rsidR="006B2606" w:rsidRPr="00F4243B" w:rsidRDefault="006B2606"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Địa phương được trao thẩm quyền quy định thủ tục hành chính trong phạm vi quản lý của mình theo hướng chủ động, linh hoạt, bao gồm việc đơn giản hóa thủ tục hành chính và ban hành các thủ tục đặc thù phục vụ yêu cầu quản lý, phát triển kinh tế – xã hội tại địa phương trong trường hợp chưa có quy định của trung ương, đồng thời phải bảo đảm tuân thủ khuôn khổ, giới hạn và cơ chế kiểm soát của cơ quan trung ương.</w:t>
      </w:r>
    </w:p>
    <w:p w14:paraId="78C576E8" w14:textId="673D8B64" w:rsidR="00181B39" w:rsidRPr="00F4243B" w:rsidRDefault="006B2606" w:rsidP="00F4243B">
      <w:pPr>
        <w:pStyle w:val="NormalWeb"/>
        <w:spacing w:before="120" w:beforeAutospacing="0" w:after="0" w:afterAutospacing="0" w:line="288" w:lineRule="auto"/>
        <w:ind w:firstLine="567"/>
        <w:jc w:val="both"/>
        <w:rPr>
          <w:b/>
          <w:sz w:val="28"/>
          <w:szCs w:val="28"/>
          <w:lang w:val="vi-VN"/>
        </w:rPr>
      </w:pPr>
      <w:r w:rsidRPr="00F4243B">
        <w:rPr>
          <w:b/>
          <w:sz w:val="28"/>
          <w:szCs w:val="28"/>
          <w:lang w:val="vi-VN"/>
        </w:rPr>
        <w:t>5. Bổ sung cơ chế đăng ký thủ tục hành chính</w:t>
      </w:r>
      <w:r w:rsidR="00936BE3" w:rsidRPr="00F4243B">
        <w:rPr>
          <w:b/>
          <w:sz w:val="28"/>
          <w:szCs w:val="28"/>
          <w:lang w:val="vi-VN"/>
        </w:rPr>
        <w:t>,</w:t>
      </w:r>
      <w:r w:rsidR="00181B39" w:rsidRPr="00F4243B">
        <w:rPr>
          <w:b/>
          <w:sz w:val="28"/>
          <w:szCs w:val="28"/>
          <w:lang w:val="vi-VN"/>
        </w:rPr>
        <w:t xml:space="preserve"> </w:t>
      </w:r>
      <w:r w:rsidRPr="00F4243B">
        <w:rPr>
          <w:b/>
          <w:sz w:val="28"/>
          <w:szCs w:val="28"/>
          <w:lang w:val="vi-VN"/>
        </w:rPr>
        <w:t>đặc biệt đối với thủ tục mới ban hành và thủ tục do đ</w:t>
      </w:r>
      <w:r w:rsidR="00181B39" w:rsidRPr="00F4243B">
        <w:rPr>
          <w:b/>
          <w:sz w:val="28"/>
          <w:szCs w:val="28"/>
          <w:lang w:val="vi-VN"/>
        </w:rPr>
        <w:t>ịa phương ban hành</w:t>
      </w:r>
    </w:p>
    <w:p w14:paraId="246012FF" w14:textId="5B1A9076" w:rsidR="00181B39" w:rsidRPr="00F4243B" w:rsidRDefault="00181B39"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Bổ sung cơ chế đăng ký bắt buộc đối với thủ tục hành chính vào cơ sở dữ liệu quốc gia về thủ tục hành chính nhằm bảo đảm mọi thủ tục hành chính được công khai, minh bạch, có thể theo dõi, đánh giá và kiểm soát thống nhất trong toàn hệ thống. Theo đó, tất cả thủ tục hành chính mới ban hành hoặc được sửa đổi, bổ sung phải được đăng ký vào cơ sở dữ liệu quốc gia về thủ tục hành chính trước khi tổ chức thực hiện.</w:t>
      </w:r>
    </w:p>
    <w:p w14:paraId="3F07FA33" w14:textId="3EEA9B4A" w:rsidR="00E946C2" w:rsidRPr="00F4243B" w:rsidRDefault="00181B39"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Thủ tục hành chính không được đăng ký, cập nhật đầy đủ, kịp thời vào cơ sở dữ liệu quốc gia về thủ tục hành chính thì được coi là chưa bảo đảm điều kiện về công khai, minh bạch, chưa đáp ứng yêu cầu về trách nhiệm giải trình của cơ quan nhà nước và không đủ điều kiện để tổ chức thực hiện, áp dụng trên thực tế; cơ quan, người có thẩm quyền không được yêu cầu tổ chức, cá nhân thực hiện các thủ tục hành chính khi chưa đăng ký, công khai trên cơ sở dữ liệu quốc gia về thủ tục hành chính.</w:t>
      </w:r>
    </w:p>
    <w:p w14:paraId="16981972" w14:textId="77777777" w:rsidR="003E7711" w:rsidRPr="00F4243B" w:rsidRDefault="003E7711" w:rsidP="00F4243B">
      <w:pPr>
        <w:pStyle w:val="NormalWeb"/>
        <w:spacing w:before="120" w:beforeAutospacing="0" w:after="0" w:afterAutospacing="0" w:line="288" w:lineRule="auto"/>
        <w:ind w:firstLine="567"/>
        <w:jc w:val="both"/>
        <w:rPr>
          <w:sz w:val="28"/>
          <w:szCs w:val="28"/>
        </w:rPr>
      </w:pPr>
      <w:r w:rsidRPr="00F4243B">
        <w:rPr>
          <w:rStyle w:val="Strong"/>
          <w:sz w:val="28"/>
          <w:szCs w:val="28"/>
        </w:rPr>
        <w:t>6. Bổ sung quy định về ứng dụng chuyển đổi số trong công tác kiểm soát thủ tục hành chính</w:t>
      </w:r>
    </w:p>
    <w:p w14:paraId="6414F62A" w14:textId="77777777" w:rsidR="003E7711" w:rsidRPr="00F4243B" w:rsidRDefault="003E7711"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Bổ sung quy định về việc ứng dụng chuyển đổi số một cách toàn diện trong công tác kiểm soát thủ tục hành chính nhằm nâng cao tính khách quan, minh bạch, hiệu quả và khả năng giám sát trong suốt vòng đời của thủ tục hành chính. Theo đó, đẩy mạnh việc số hóa, điện tử hóa các hoạt động kiểm soát thủ tục hành chính, bao gồm rà soát, thống kê, công bố, cập nhật, đánh giá tác động và theo dõi việc thực hiện thủ tục hành chính.</w:t>
      </w:r>
    </w:p>
    <w:p w14:paraId="13349B9A" w14:textId="77777777" w:rsidR="003E7711" w:rsidRPr="00F4243B" w:rsidRDefault="003E7711"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 xml:space="preserve">Việc kiểm soát thủ tục hành chính được thực hiện trên nền tảng các hệ thống thông tin, cơ sở dữ liệu và công cụ số thống nhất, cho phép tự động hóa việc thu thập, phân tích dữ liệu, đánh giá mức độ cần thiết, tính hợp lý và chi phí tuân thủ </w:t>
      </w:r>
      <w:r w:rsidRPr="00F4243B">
        <w:rPr>
          <w:sz w:val="28"/>
          <w:szCs w:val="28"/>
          <w:lang w:val="vi-VN"/>
        </w:rPr>
        <w:lastRenderedPageBreak/>
        <w:t>của thủ tục hành chính; hỗ trợ cơ quan có thẩm quyền trong việc phát hiện, cảnh báo và đề xuất phương án cắt giảm, đơn giản hóa thủ tục hành chính.</w:t>
      </w:r>
    </w:p>
    <w:p w14:paraId="64421D76" w14:textId="77777777" w:rsidR="003E7711" w:rsidRPr="00F4243B" w:rsidRDefault="003E7711"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Kết quả rà soát, đánh giá thủ tục hành chính được số hóa, tích hợp và khai thác tập trung, phục vụ công tác chỉ đạo, điều hành, kiểm tra, giám sát và đánh giá hiệu quả cải cách thủ tục hành chính; đồng thời làm cơ sở để so sánh, xếp hạng mức độ thực hiện giữa các bộ, ngành, địa phương, bảo đảm công khai, minh bạch và nâng cao trách nhiệm giải trình của cơ quan nhà nước.</w:t>
      </w:r>
    </w:p>
    <w:p w14:paraId="55E35BE7" w14:textId="77777777" w:rsidR="00772E18" w:rsidRPr="00F4243B" w:rsidRDefault="00772E18"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Tổng thể, việc xây dựng Nghị định thay thế Nghị định số 63/2010/NĐ-CP cần được định hướng như một bước chuyển căn bản từ “kiểm soát thủ tục hành chính” sang “quản trị thủ tục hành chính hiện đại”, tiệm cận các thông lệ quốc tế tiên tiến, đồng thời phù hợp với điều kiện thực tiễn của Việt Nam. Đây là nền tảng quan trọng để xây dựng nền hành chính phục vụ, hiện đại, minh bạch và hiệu quả, góp phần cải thiện môi trường đầu tư, kinh doanh và nâng cao năng lực cạnh tranh quốc gia trong giai đoạn tới.</w:t>
      </w:r>
    </w:p>
    <w:p w14:paraId="0E498AF5" w14:textId="53030070" w:rsidR="00DA131B" w:rsidRPr="00F4243B" w:rsidRDefault="00DA131B" w:rsidP="00F4243B">
      <w:pPr>
        <w:pStyle w:val="NormalWeb"/>
        <w:spacing w:before="120" w:beforeAutospacing="0" w:after="0" w:afterAutospacing="0" w:line="288" w:lineRule="auto"/>
        <w:ind w:firstLine="567"/>
        <w:jc w:val="both"/>
        <w:rPr>
          <w:sz w:val="28"/>
          <w:szCs w:val="28"/>
          <w:lang w:val="vi-VN"/>
        </w:rPr>
      </w:pPr>
      <w:r w:rsidRPr="00F4243B">
        <w:rPr>
          <w:sz w:val="28"/>
          <w:szCs w:val="28"/>
          <w:lang w:val="vi-VN"/>
        </w:rPr>
        <w:t xml:space="preserve">Trên cơ sở chức năng, nhiệm vụ được giao, hiện nay, </w:t>
      </w:r>
      <w:r w:rsidR="00772E18" w:rsidRPr="00F4243B">
        <w:rPr>
          <w:sz w:val="28"/>
          <w:szCs w:val="28"/>
          <w:lang w:val="vi-VN"/>
        </w:rPr>
        <w:t xml:space="preserve">Bộ Tư pháp </w:t>
      </w:r>
      <w:r w:rsidRPr="00F4243B">
        <w:rPr>
          <w:sz w:val="28"/>
          <w:szCs w:val="28"/>
          <w:lang w:val="vi-VN"/>
        </w:rPr>
        <w:t xml:space="preserve">đang chủ trì, phối hợp với các Bộ, ngành, địa phương nghiên cứu, xây dựng, trình Chính phủ dự thảo Nghị </w:t>
      </w:r>
      <w:r w:rsidR="00772E18" w:rsidRPr="00F4243B">
        <w:rPr>
          <w:sz w:val="28"/>
          <w:szCs w:val="28"/>
          <w:lang w:val="vi-VN"/>
        </w:rPr>
        <w:t>định thay thế Nghị định số 63/2010</w:t>
      </w:r>
      <w:r w:rsidRPr="00F4243B">
        <w:rPr>
          <w:sz w:val="28"/>
          <w:szCs w:val="28"/>
          <w:lang w:val="vi-VN"/>
        </w:rPr>
        <w:t>/NĐ-</w:t>
      </w:r>
      <w:r w:rsidR="00035A58" w:rsidRPr="00F4243B">
        <w:rPr>
          <w:sz w:val="28"/>
          <w:szCs w:val="28"/>
          <w:lang w:val="vi-VN"/>
        </w:rPr>
        <w:t xml:space="preserve">CP và </w:t>
      </w:r>
      <w:r w:rsidRPr="00F4243B">
        <w:rPr>
          <w:sz w:val="28"/>
          <w:szCs w:val="28"/>
          <w:lang w:val="vi-VN"/>
        </w:rPr>
        <w:t>sửa đổi, bổ sung một số quy định có liên quan tại Thông tư để tiếp tục hoàn thiện thể chế trong thực hiện</w:t>
      </w:r>
      <w:r w:rsidR="00772E18" w:rsidRPr="00F4243B">
        <w:rPr>
          <w:sz w:val="28"/>
          <w:szCs w:val="28"/>
          <w:lang w:val="vi-VN"/>
        </w:rPr>
        <w:t xml:space="preserve"> kiểm soát thủ tục hành chính</w:t>
      </w:r>
      <w:r w:rsidRPr="00F4243B">
        <w:rPr>
          <w:sz w:val="28"/>
          <w:szCs w:val="28"/>
          <w:lang w:val="vi-VN"/>
        </w:rPr>
        <w:t>, làm cơ sở triển khai thực hiện. Đồng thời, các bộ, ngành, địa phương đã triển khai xây dựng kế hoạch và đang tổ chức thực hiện các nhiệm vụ theo mục tiêu, lộ trình đã đề ra.</w:t>
      </w:r>
    </w:p>
    <w:p w14:paraId="3534AE4B" w14:textId="736AA219" w:rsidR="00151F62" w:rsidRPr="00F4243B" w:rsidRDefault="00151F62" w:rsidP="00F4243B">
      <w:pPr>
        <w:pStyle w:val="NormalWeb"/>
        <w:spacing w:before="120" w:beforeAutospacing="0" w:after="0" w:afterAutospacing="0" w:line="288" w:lineRule="auto"/>
        <w:ind w:firstLine="567"/>
        <w:jc w:val="both"/>
        <w:rPr>
          <w:b/>
          <w:sz w:val="28"/>
          <w:szCs w:val="28"/>
        </w:rPr>
      </w:pPr>
      <w:r w:rsidRPr="00F4243B">
        <w:rPr>
          <w:b/>
          <w:sz w:val="28"/>
          <w:szCs w:val="28"/>
        </w:rPr>
        <w:t xml:space="preserve">7. Đối với việc Phòng Kiểm soát thủ tục hành chính, </w:t>
      </w:r>
      <w:r w:rsidR="00E13101" w:rsidRPr="00F4243B">
        <w:rPr>
          <w:b/>
          <w:sz w:val="28"/>
          <w:szCs w:val="28"/>
        </w:rPr>
        <w:t xml:space="preserve">Bộ phận kiểm soát thủ tục hành chính tại </w:t>
      </w:r>
      <w:r w:rsidRPr="00F4243B">
        <w:rPr>
          <w:b/>
          <w:sz w:val="28"/>
          <w:szCs w:val="28"/>
        </w:rPr>
        <w:t>Trung tâm phục vụ hành chính c</w:t>
      </w:r>
      <w:r w:rsidR="00E13101" w:rsidRPr="00F4243B">
        <w:rPr>
          <w:b/>
          <w:sz w:val="28"/>
          <w:szCs w:val="28"/>
        </w:rPr>
        <w:t xml:space="preserve">ông </w:t>
      </w:r>
    </w:p>
    <w:p w14:paraId="6731EB7E" w14:textId="18C25039" w:rsidR="00E13101" w:rsidRPr="00F4243B" w:rsidRDefault="00E13101" w:rsidP="00F4243B">
      <w:pPr>
        <w:pStyle w:val="NormalWeb"/>
        <w:spacing w:before="120" w:beforeAutospacing="0" w:after="0" w:afterAutospacing="0" w:line="288" w:lineRule="auto"/>
        <w:ind w:firstLine="567"/>
        <w:jc w:val="both"/>
        <w:rPr>
          <w:sz w:val="28"/>
          <w:szCs w:val="28"/>
        </w:rPr>
      </w:pPr>
      <w:r w:rsidRPr="00F4243B">
        <w:rPr>
          <w:sz w:val="28"/>
          <w:szCs w:val="28"/>
        </w:rPr>
        <w:t xml:space="preserve">Về nội dung này, Bộ Tư pháp đã lấy ý kiến các bộ, ngành, địa phương liên quan. Đối với Bộ, ngành 80% Bộ, ngành đều để nghị Phòng Kiểm soát thủ tục hành chính đặt tại Văn phòng Bộ để ổn định tổ chức, gắn kết với tổ chức thực hiện bộ phận một cửa và ứng dụng dịch vụ công trực tuyến trong giải quyết thủ tục hành chính cho người dân. Đối với địa phương, </w:t>
      </w:r>
      <w:r w:rsidR="0043743F" w:rsidRPr="00F4243B">
        <w:rPr>
          <w:sz w:val="28"/>
          <w:szCs w:val="28"/>
        </w:rPr>
        <w:t xml:space="preserve">hơn </w:t>
      </w:r>
      <w:r w:rsidRPr="00F4243B">
        <w:rPr>
          <w:sz w:val="28"/>
          <w:szCs w:val="28"/>
        </w:rPr>
        <w:t>90 % địa phương yêu cầu giữ nguyên cơ cấu tổ chức hiện hành của Trung tâm phục vụ hành chính công, theo đó Trung tâm phục vụ hành chính công giữ nguyên đặt tại Văn phòng Ủy ban nhân dân cấp tỉnh.</w:t>
      </w:r>
    </w:p>
    <w:p w14:paraId="7AC48667" w14:textId="52A28923" w:rsidR="003E7711" w:rsidRPr="00F4243B" w:rsidRDefault="003E7711" w:rsidP="00F4243B">
      <w:pPr>
        <w:pStyle w:val="NormalWeb"/>
        <w:spacing w:before="120" w:beforeAutospacing="0" w:after="0" w:afterAutospacing="0" w:line="288" w:lineRule="auto"/>
        <w:ind w:firstLine="567"/>
        <w:jc w:val="both"/>
        <w:rPr>
          <w:b/>
          <w:sz w:val="28"/>
          <w:szCs w:val="28"/>
        </w:rPr>
      </w:pPr>
      <w:r w:rsidRPr="00F4243B">
        <w:rPr>
          <w:b/>
          <w:sz w:val="28"/>
          <w:szCs w:val="28"/>
        </w:rPr>
        <w:t xml:space="preserve">IV. KIẾN NGHỊ ĐỀ XUẤT </w:t>
      </w:r>
    </w:p>
    <w:p w14:paraId="49E78C89" w14:textId="290ED688" w:rsidR="003E7711" w:rsidRPr="00F4243B" w:rsidRDefault="003E7711" w:rsidP="00F4243B">
      <w:pPr>
        <w:pStyle w:val="NormalWeb"/>
        <w:spacing w:before="120" w:beforeAutospacing="0" w:after="0" w:afterAutospacing="0" w:line="288" w:lineRule="auto"/>
        <w:ind w:firstLine="567"/>
        <w:jc w:val="both"/>
        <w:rPr>
          <w:sz w:val="28"/>
          <w:szCs w:val="28"/>
        </w:rPr>
      </w:pPr>
      <w:r w:rsidRPr="00F4243B">
        <w:rPr>
          <w:sz w:val="28"/>
          <w:szCs w:val="28"/>
        </w:rPr>
        <w:t>Trên cơ sở kết quả đạt được, những tồn tại, hạn chế và yêu cầu đổi mới trong bối cảnh hiện nay, Bộ Tư pháp kính đề xuất Thủ tướng Chính phủ xem xét, chỉ đạo một số nội dung trọng tâm sau:</w:t>
      </w:r>
    </w:p>
    <w:p w14:paraId="0670F3E2" w14:textId="346BEDC1" w:rsidR="00AF00C9" w:rsidRPr="00F4243B" w:rsidRDefault="00AF00C9" w:rsidP="00F4243B">
      <w:pPr>
        <w:pStyle w:val="NormalWeb"/>
        <w:spacing w:before="120" w:beforeAutospacing="0" w:after="0" w:afterAutospacing="0" w:line="288" w:lineRule="auto"/>
        <w:ind w:firstLine="567"/>
        <w:jc w:val="both"/>
        <w:rPr>
          <w:sz w:val="28"/>
          <w:szCs w:val="28"/>
        </w:rPr>
      </w:pPr>
      <w:r w:rsidRPr="00F4243B">
        <w:rPr>
          <w:b/>
          <w:sz w:val="28"/>
          <w:szCs w:val="28"/>
        </w:rPr>
        <w:lastRenderedPageBreak/>
        <w:t>1.</w:t>
      </w:r>
      <w:r w:rsidRPr="00F4243B">
        <w:rPr>
          <w:sz w:val="28"/>
          <w:szCs w:val="28"/>
        </w:rPr>
        <w:t xml:space="preserve"> Xây dựng và ban hành Nghị định thay thế Nghị định số 63/2010/NĐ-CP theo hướng chuyển đổi căn bản từ mô hình “kiểm soát thủ tục hành chính” sang mô hình “quản trị thủ tục hành chính hiện đại”, nhằm thiết lập khuôn khổ pháp lý đầy đủ, thống nhất, bao quát toàn bộ vòng đời của thủ tục hành chính từ khâu xây dựng, ban hành đến tổ chức thực hiện, giám sát, đánh giá và cải tiến. Nghị định mới cần nội luật hóa các nguyên tắc quản trị tiên tiến, tiệm cận thông lệ quốc tế như quản lý theo rủi ro, đánh giá chi phí – lợi ích, chuyển mạnh từ tiền kiểm sang hậu kiểm, quản trị dựa trên dữ liệu và trách nhiệm giải trình theo kết quả; đồng thời mở rộng phạm vi điều chỉnh bao quát cả thủ tục hành chính nội bộ, thiết lập cơ chế kiểm soát chặt chẽ thẩm quyền ban hành thủ tục hành chính, hạn chế lạm dụng công cụ cấp phép, xóa bỏ cơ chế “xin – cho”. Bên cạnh đó, cần đổi mới toàn diện các công cụ kiểm soát như đánh giá tác động thủ tục hành chính theo hướng gắn với quyết định chính sách, rà soát thủ tục hành chính theo vòng đời và theo chuỗi sự kiện của người dân, doanh nghiệp; thiết lập cơ chế đăng ký bắt buộc thủ tục hành chính vào cơ sở dữ liệu quốc gia như một điều kiện có hiệu lực thi hành; đẩy mạnh ứng dụng chuyển đổi số, xây dựng hệ thống công cụ điện tử phục vụ kiểm soát, đánh giá, giám sát thủ tục hành chính theo thời gian thực; đồng thời đổi mới cơ chế công bố, công khai thủ tục hành chính theo hướng số hóa, tập trung, bãi bỏ việc công bố mang tính “địa phương hóa hình thức”, qua đó nâng cao tính minh bạch, thống nhất và hiệu quả của hệ thống thủ tục hành chính.</w:t>
      </w:r>
    </w:p>
    <w:p w14:paraId="712847F4" w14:textId="77777777" w:rsidR="00AF00C9" w:rsidRPr="00F4243B" w:rsidRDefault="00AF00C9" w:rsidP="00F4243B">
      <w:pPr>
        <w:pStyle w:val="NormalWeb"/>
        <w:spacing w:before="120" w:beforeAutospacing="0" w:after="0" w:afterAutospacing="0" w:line="288" w:lineRule="auto"/>
        <w:ind w:firstLine="567"/>
        <w:jc w:val="both"/>
        <w:rPr>
          <w:sz w:val="28"/>
          <w:szCs w:val="28"/>
        </w:rPr>
      </w:pPr>
      <w:r w:rsidRPr="00F4243B">
        <w:rPr>
          <w:b/>
          <w:sz w:val="28"/>
          <w:szCs w:val="28"/>
        </w:rPr>
        <w:t>2.</w:t>
      </w:r>
      <w:r w:rsidRPr="00F4243B">
        <w:rPr>
          <w:sz w:val="28"/>
          <w:szCs w:val="28"/>
        </w:rPr>
        <w:t xml:space="preserve"> Về tổ chức bộ máy thực hiện nhiệm vụ kiểm soát thủ tục hành chính, đề nghị Thủ tướng Chính phủ chỉ đạo các bộ, cơ quan ngang bộ rà soát, kiện toàn tổ chức theo hướng:</w:t>
      </w:r>
    </w:p>
    <w:p w14:paraId="28C20A1B" w14:textId="19C5E342" w:rsidR="00AF00C9" w:rsidRPr="00F4243B" w:rsidRDefault="00AF00C9" w:rsidP="00F4243B">
      <w:pPr>
        <w:pStyle w:val="NormalWeb"/>
        <w:spacing w:before="120" w:beforeAutospacing="0" w:after="0" w:afterAutospacing="0" w:line="288" w:lineRule="auto"/>
        <w:ind w:firstLine="567"/>
        <w:jc w:val="both"/>
        <w:rPr>
          <w:sz w:val="28"/>
          <w:szCs w:val="28"/>
        </w:rPr>
      </w:pPr>
      <w:r w:rsidRPr="00F4243B">
        <w:rPr>
          <w:sz w:val="28"/>
          <w:szCs w:val="28"/>
        </w:rPr>
        <w:t>- Đối với Bộ, ngành:</w:t>
      </w:r>
      <w:r w:rsidR="008B7CDE" w:rsidRPr="00F4243B">
        <w:rPr>
          <w:sz w:val="28"/>
          <w:szCs w:val="28"/>
        </w:rPr>
        <w:t xml:space="preserve"> Giao cho</w:t>
      </w:r>
      <w:r w:rsidRPr="00F4243B">
        <w:rPr>
          <w:sz w:val="28"/>
          <w:szCs w:val="28"/>
        </w:rPr>
        <w:t xml:space="preserve"> Bộ</w:t>
      </w:r>
      <w:r w:rsidR="008B7CDE" w:rsidRPr="00F4243B">
        <w:rPr>
          <w:sz w:val="28"/>
          <w:szCs w:val="28"/>
        </w:rPr>
        <w:t xml:space="preserve"> chủ động phương án sắp xếp đảm bảo công tác kiểm soát thủ tục hành chính </w:t>
      </w:r>
      <w:r w:rsidRPr="00F4243B">
        <w:rPr>
          <w:sz w:val="28"/>
          <w:szCs w:val="28"/>
        </w:rPr>
        <w:t xml:space="preserve">gắn kết chặt chẽ với công tác xây dựng, thẩm định, hoàn thiện chính sách, pháp luật; đồng thời, bộ phận thực hiện cơ chế một cửa, một cửa liên thông và vận hành Hệ thống thông tin giải quyết thủ tục hành chính tiếp tục được duy trì tại Văn phòng bộ nhằm bảo đảm gắn với công tác tổ chức thực thi, phục vụ người dân, doanh nghiệp và vận hành hệ thống công nghệ thông tin. </w:t>
      </w:r>
    </w:p>
    <w:p w14:paraId="55569C97" w14:textId="5064AF5A" w:rsidR="00F4243B" w:rsidRPr="00F4243B" w:rsidRDefault="00AF00C9" w:rsidP="00F4243B">
      <w:pPr>
        <w:pStyle w:val="pdq2pgselectionanchorcontainer"/>
        <w:spacing w:before="120" w:beforeAutospacing="0" w:after="0" w:afterAutospacing="0" w:line="288" w:lineRule="auto"/>
        <w:ind w:firstLine="567"/>
        <w:rPr>
          <w:sz w:val="28"/>
          <w:szCs w:val="28"/>
        </w:rPr>
      </w:pPr>
      <w:r w:rsidRPr="00F4243B">
        <w:rPr>
          <w:sz w:val="28"/>
          <w:szCs w:val="28"/>
        </w:rPr>
        <w:t xml:space="preserve">- </w:t>
      </w:r>
      <w:r w:rsidR="008B7CDE" w:rsidRPr="00F4243B">
        <w:rPr>
          <w:sz w:val="28"/>
          <w:szCs w:val="28"/>
        </w:rPr>
        <w:t>Đối với địa phương</w:t>
      </w:r>
      <w:r w:rsidR="00F4243B" w:rsidRPr="00F4243B">
        <w:rPr>
          <w:sz w:val="28"/>
          <w:szCs w:val="28"/>
        </w:rPr>
        <w:t>:</w:t>
      </w:r>
    </w:p>
    <w:p w14:paraId="37CE1994" w14:textId="21EE59FB" w:rsidR="00F4243B" w:rsidRPr="00F4243B" w:rsidRDefault="00F4243B" w:rsidP="00F4243B">
      <w:pPr>
        <w:pStyle w:val="pdq2pgselectionanchorcontainer"/>
        <w:spacing w:before="120" w:beforeAutospacing="0" w:after="0" w:afterAutospacing="0" w:line="288" w:lineRule="auto"/>
        <w:ind w:firstLine="567"/>
        <w:jc w:val="both"/>
        <w:rPr>
          <w:sz w:val="28"/>
          <w:szCs w:val="28"/>
        </w:rPr>
      </w:pPr>
      <w:r w:rsidRPr="00F4243B">
        <w:rPr>
          <w:rStyle w:val="Strong"/>
          <w:b w:val="0"/>
          <w:sz w:val="28"/>
          <w:szCs w:val="28"/>
        </w:rPr>
        <w:t>Phương án 1:</w:t>
      </w:r>
      <w:r w:rsidRPr="00F4243B">
        <w:rPr>
          <w:sz w:val="28"/>
          <w:szCs w:val="28"/>
        </w:rPr>
        <w:t xml:space="preserve"> Giao </w:t>
      </w:r>
      <w:r w:rsidRPr="00F4243B">
        <w:rPr>
          <w:rStyle w:val="Strong"/>
          <w:b w:val="0"/>
          <w:sz w:val="28"/>
          <w:szCs w:val="28"/>
        </w:rPr>
        <w:t>Sở Tư pháp</w:t>
      </w:r>
      <w:r w:rsidRPr="00F4243B">
        <w:rPr>
          <w:sz w:val="28"/>
          <w:szCs w:val="28"/>
        </w:rPr>
        <w:t xml:space="preserve"> thực hiện chức năng tham mưu, giúp Ủy ban nhân dân cấp tỉnh quản lý nhà nước về công tác kiểm soát thủ tục hành chính: kiểm soát quy định thủ tục hành chính trong quá trình xây dựng văn bản quy phạm pháp luật; tổ chức rà soát, đánh giá, cắt giảm, đơn giản hóa thủ tục hành chính; theo dõi, kiểm tra việc thực hiện công tác kiểm soát thủ tục hành chính; tiếp nhận, </w:t>
      </w:r>
      <w:r w:rsidRPr="00F4243B">
        <w:rPr>
          <w:sz w:val="28"/>
          <w:szCs w:val="28"/>
        </w:rPr>
        <w:lastRenderedPageBreak/>
        <w:t xml:space="preserve">theo dõi việc xử lý phản ánh, kiến nghị về quy định hành chính và thủ tục hành chính trên địa bàn; </w:t>
      </w:r>
      <w:r w:rsidRPr="00F4243B">
        <w:rPr>
          <w:rStyle w:val="Strong"/>
          <w:b w:val="0"/>
          <w:sz w:val="28"/>
          <w:szCs w:val="28"/>
        </w:rPr>
        <w:t>Trung tâm Phục vụ hành chính công cấp tỉnh</w:t>
      </w:r>
      <w:r w:rsidRPr="00F4243B">
        <w:rPr>
          <w:sz w:val="28"/>
          <w:szCs w:val="28"/>
        </w:rPr>
        <w:t xml:space="preserve"> (thuộc Văn phòng Ủy ban nhân dân cấp tỉnh hoặc Trung tâm Phục vụ hành chính công một cấp) thực hiện chức năng tổ chức tiếp nhận, giải quyết thủ tục hành chính, triển khai cơ chế một cửa, một cửa liên thông và cung cấp dịch vụ công trực tuyến.</w:t>
      </w:r>
    </w:p>
    <w:p w14:paraId="78B82033" w14:textId="77777777" w:rsidR="00F4243B" w:rsidRPr="00F4243B" w:rsidRDefault="00F4243B" w:rsidP="00F4243B">
      <w:pPr>
        <w:pStyle w:val="NormalWeb"/>
        <w:spacing w:before="120" w:beforeAutospacing="0" w:after="0" w:afterAutospacing="0" w:line="288" w:lineRule="auto"/>
        <w:ind w:firstLine="567"/>
        <w:jc w:val="both"/>
        <w:rPr>
          <w:sz w:val="28"/>
          <w:szCs w:val="28"/>
        </w:rPr>
      </w:pPr>
      <w:r w:rsidRPr="00F4243B">
        <w:rPr>
          <w:rStyle w:val="Strong"/>
          <w:b w:val="0"/>
          <w:sz w:val="28"/>
          <w:szCs w:val="28"/>
        </w:rPr>
        <w:t>Phương án 2:</w:t>
      </w:r>
      <w:r w:rsidRPr="00F4243B">
        <w:rPr>
          <w:b/>
          <w:sz w:val="28"/>
          <w:szCs w:val="28"/>
        </w:rPr>
        <w:t xml:space="preserve"> </w:t>
      </w:r>
      <w:r w:rsidRPr="00F4243B">
        <w:rPr>
          <w:sz w:val="28"/>
          <w:szCs w:val="28"/>
        </w:rPr>
        <w:t xml:space="preserve">Tiếp tục giao </w:t>
      </w:r>
      <w:r w:rsidRPr="00F4243B">
        <w:rPr>
          <w:rStyle w:val="Strong"/>
          <w:b w:val="0"/>
          <w:sz w:val="28"/>
          <w:szCs w:val="28"/>
        </w:rPr>
        <w:t>Văn phòng Ủy ban nhân dân cấp tỉnh</w:t>
      </w:r>
      <w:r w:rsidRPr="00F4243B">
        <w:rPr>
          <w:sz w:val="28"/>
          <w:szCs w:val="28"/>
        </w:rPr>
        <w:t xml:space="preserve"> thực hiện chức năng tham mưu, giúp Ủy ban nhân dân cấp tỉnh về công tác kiểm soát thủ tục hành chính; </w:t>
      </w:r>
      <w:r w:rsidRPr="00F4243B">
        <w:rPr>
          <w:rStyle w:val="Strong"/>
          <w:b w:val="0"/>
          <w:sz w:val="28"/>
          <w:szCs w:val="28"/>
        </w:rPr>
        <w:t>Trung tâm Phục vụ hành chính công cấp tỉnh</w:t>
      </w:r>
      <w:r w:rsidRPr="00F4243B">
        <w:rPr>
          <w:sz w:val="28"/>
          <w:szCs w:val="28"/>
        </w:rPr>
        <w:t xml:space="preserve"> thuộc Văn phòng Ủy ban nhân dân cấp tỉnh hoặc </w:t>
      </w:r>
      <w:r w:rsidRPr="00F4243B">
        <w:rPr>
          <w:rStyle w:val="Strong"/>
          <w:b w:val="0"/>
          <w:sz w:val="28"/>
          <w:szCs w:val="28"/>
        </w:rPr>
        <w:t>Trung tâm Phục vụ hành chính công một cấp</w:t>
      </w:r>
      <w:r w:rsidRPr="00F4243B">
        <w:rPr>
          <w:sz w:val="28"/>
          <w:szCs w:val="28"/>
        </w:rPr>
        <w:t xml:space="preserve"> trực thuộc Ủy ban nhân dân cấp tỉnh thực hiện chức năng tham mưu, tổ chức thực hiện công tác kiểm soát thủ tục hành chính gắn với cơ chế một cửa, một cửa liên thông, cung cấp dịch vụ công trực tuyến và quản lý, vận hành Hệ thống thông tin giải quyết thủ tục hành chính.</w:t>
      </w:r>
    </w:p>
    <w:p w14:paraId="4B6D6B36" w14:textId="35CDEB71" w:rsidR="00AF00C9" w:rsidRPr="00F4243B" w:rsidRDefault="00AF00C9" w:rsidP="00F4243B">
      <w:pPr>
        <w:pStyle w:val="NormalWeb"/>
        <w:spacing w:before="120" w:beforeAutospacing="0" w:after="0" w:afterAutospacing="0" w:line="288" w:lineRule="auto"/>
        <w:ind w:firstLine="567"/>
        <w:jc w:val="both"/>
        <w:rPr>
          <w:sz w:val="28"/>
          <w:szCs w:val="28"/>
          <w:lang w:val="vi-VN"/>
        </w:rPr>
      </w:pPr>
      <w:r w:rsidRPr="00F4243B">
        <w:rPr>
          <w:sz w:val="28"/>
          <w:szCs w:val="28"/>
        </w:rPr>
        <w:t>Trên đây là Báo cáo tổng kết thực hiện Nghị định 63/2010/NĐ-CP về kiểm soát thủ tục hành chính, Bộ Tư pháp xin báo cáo Thủ tướng Chính phủ xem xét, cho ý kiến chỉ đạo./.</w:t>
      </w:r>
    </w:p>
    <w:p w14:paraId="36648AE8" w14:textId="77777777" w:rsidR="000E2C77" w:rsidRPr="00AF2835" w:rsidRDefault="000E2C77" w:rsidP="00D35E72">
      <w:pPr>
        <w:widowControl w:val="0"/>
        <w:autoSpaceDE w:val="0"/>
        <w:autoSpaceDN w:val="0"/>
        <w:adjustRightInd w:val="0"/>
        <w:spacing w:line="288" w:lineRule="auto"/>
        <w:jc w:val="both"/>
        <w:rPr>
          <w:color w:val="000000"/>
          <w:sz w:val="20"/>
          <w:lang w:val="it-IT"/>
        </w:rPr>
      </w:pPr>
    </w:p>
    <w:tbl>
      <w:tblPr>
        <w:tblW w:w="0" w:type="auto"/>
        <w:tblLook w:val="01E0" w:firstRow="1" w:lastRow="1" w:firstColumn="1" w:lastColumn="1" w:noHBand="0" w:noVBand="0"/>
      </w:tblPr>
      <w:tblGrid>
        <w:gridCol w:w="5310"/>
        <w:gridCol w:w="3764"/>
      </w:tblGrid>
      <w:tr w:rsidR="00035A58" w:rsidRPr="00F9217C" w14:paraId="363D1670" w14:textId="77777777" w:rsidTr="004D631C">
        <w:trPr>
          <w:trHeight w:val="1402"/>
        </w:trPr>
        <w:tc>
          <w:tcPr>
            <w:tcW w:w="5310" w:type="dxa"/>
          </w:tcPr>
          <w:p w14:paraId="4A31BF12" w14:textId="454FB81A" w:rsidR="00035A58" w:rsidRDefault="00035A58" w:rsidP="00035A58">
            <w:pPr>
              <w:rPr>
                <w:b/>
                <w:i/>
                <w:sz w:val="24"/>
                <w:lang w:val="nl-NL"/>
              </w:rPr>
            </w:pPr>
            <w:r w:rsidRPr="00D13AF4">
              <w:rPr>
                <w:b/>
                <w:i/>
                <w:sz w:val="24"/>
                <w:lang w:val="nl-NL"/>
              </w:rPr>
              <w:t>Nơi nhận:</w:t>
            </w:r>
          </w:p>
          <w:p w14:paraId="1E568C0C" w14:textId="55426DFC" w:rsidR="003E7711" w:rsidRPr="003E7711" w:rsidRDefault="003E7711" w:rsidP="00035A58">
            <w:pPr>
              <w:rPr>
                <w:rFonts w:eastAsia="Batang"/>
                <w:sz w:val="24"/>
                <w:lang w:val="nl-NL"/>
              </w:rPr>
            </w:pPr>
            <w:r w:rsidRPr="003E7711">
              <w:rPr>
                <w:sz w:val="24"/>
                <w:lang w:val="nl-NL"/>
              </w:rPr>
              <w:t>- Như trên;</w:t>
            </w:r>
          </w:p>
          <w:p w14:paraId="717BF8BE" w14:textId="77777777" w:rsidR="00035A58" w:rsidRDefault="00035A58" w:rsidP="00035A58">
            <w:pPr>
              <w:jc w:val="both"/>
              <w:rPr>
                <w:sz w:val="22"/>
                <w:szCs w:val="22"/>
                <w:lang w:val="nl-NL"/>
              </w:rPr>
            </w:pPr>
            <w:r>
              <w:rPr>
                <w:sz w:val="22"/>
                <w:szCs w:val="22"/>
                <w:lang w:val="nl-NL"/>
              </w:rPr>
              <w:t>- Bộ trưởng (để báo cáo);</w:t>
            </w:r>
          </w:p>
          <w:p w14:paraId="3C027DBF" w14:textId="77777777" w:rsidR="00035A58" w:rsidRDefault="00035A58" w:rsidP="00035A58">
            <w:pPr>
              <w:jc w:val="both"/>
              <w:rPr>
                <w:sz w:val="22"/>
                <w:szCs w:val="22"/>
                <w:lang w:val="nl-NL"/>
              </w:rPr>
            </w:pPr>
            <w:r>
              <w:rPr>
                <w:sz w:val="22"/>
                <w:szCs w:val="22"/>
                <w:lang w:val="nl-NL"/>
              </w:rPr>
              <w:t>- Các đồng chí Thứ trưởng;</w:t>
            </w:r>
          </w:p>
          <w:p w14:paraId="469ED171" w14:textId="77777777" w:rsidR="00035A58" w:rsidRPr="00F9217C" w:rsidRDefault="00035A58" w:rsidP="00035A58">
            <w:pPr>
              <w:widowControl w:val="0"/>
              <w:autoSpaceDE w:val="0"/>
              <w:autoSpaceDN w:val="0"/>
              <w:adjustRightInd w:val="0"/>
              <w:jc w:val="both"/>
              <w:rPr>
                <w:color w:val="000000"/>
                <w:sz w:val="24"/>
                <w:szCs w:val="24"/>
              </w:rPr>
            </w:pPr>
            <w:r w:rsidRPr="00D13AF4">
              <w:rPr>
                <w:sz w:val="22"/>
                <w:szCs w:val="22"/>
                <w:lang w:val="nl-NL"/>
              </w:rPr>
              <w:t xml:space="preserve">- Lưu: VT, </w:t>
            </w:r>
            <w:r>
              <w:rPr>
                <w:sz w:val="22"/>
                <w:szCs w:val="22"/>
                <w:lang w:val="nl-NL"/>
              </w:rPr>
              <w:t xml:space="preserve">KSTT (yentth1). </w:t>
            </w:r>
          </w:p>
        </w:tc>
        <w:tc>
          <w:tcPr>
            <w:tcW w:w="3764" w:type="dxa"/>
          </w:tcPr>
          <w:p w14:paraId="55D5B9B6" w14:textId="77777777" w:rsidR="00035A58" w:rsidRPr="00C823E1" w:rsidRDefault="00035A58" w:rsidP="00035A58">
            <w:pPr>
              <w:jc w:val="center"/>
              <w:rPr>
                <w:b/>
                <w:lang w:val="nl-NL"/>
              </w:rPr>
            </w:pPr>
            <w:r>
              <w:rPr>
                <w:b/>
                <w:lang w:val="nl-NL"/>
              </w:rPr>
              <w:t>KT. BỘ TRƯỞNG</w:t>
            </w:r>
          </w:p>
          <w:p w14:paraId="034256E9" w14:textId="77777777" w:rsidR="00035A58" w:rsidRPr="00FC22D2" w:rsidRDefault="00035A58" w:rsidP="00035A58">
            <w:pPr>
              <w:spacing w:line="264" w:lineRule="auto"/>
              <w:jc w:val="center"/>
              <w:rPr>
                <w:b/>
                <w:lang w:val="nl-NL"/>
              </w:rPr>
            </w:pPr>
            <w:r>
              <w:rPr>
                <w:b/>
                <w:lang w:val="nl-NL"/>
              </w:rPr>
              <w:t>THỨ TRƯỞNG</w:t>
            </w:r>
          </w:p>
          <w:p w14:paraId="230CC951" w14:textId="77777777" w:rsidR="00035A58" w:rsidRDefault="00035A58" w:rsidP="00035A58">
            <w:pPr>
              <w:spacing w:line="264" w:lineRule="auto"/>
              <w:jc w:val="center"/>
              <w:rPr>
                <w:b/>
                <w:lang w:val="nl-NL"/>
              </w:rPr>
            </w:pPr>
          </w:p>
          <w:p w14:paraId="3C93E366" w14:textId="77777777" w:rsidR="00035A58" w:rsidRDefault="00035A58" w:rsidP="00035A58">
            <w:pPr>
              <w:spacing w:line="264" w:lineRule="auto"/>
              <w:jc w:val="center"/>
              <w:rPr>
                <w:b/>
                <w:sz w:val="40"/>
                <w:szCs w:val="40"/>
                <w:lang w:val="nl-NL"/>
              </w:rPr>
            </w:pPr>
          </w:p>
          <w:p w14:paraId="108788AA" w14:textId="77777777" w:rsidR="00035A58" w:rsidRPr="00CF4952" w:rsidRDefault="00035A58" w:rsidP="00035A58">
            <w:pPr>
              <w:spacing w:line="264" w:lineRule="auto"/>
              <w:jc w:val="center"/>
              <w:rPr>
                <w:b/>
                <w:sz w:val="36"/>
                <w:szCs w:val="36"/>
                <w:lang w:val="nl-NL"/>
              </w:rPr>
            </w:pPr>
          </w:p>
          <w:p w14:paraId="3A92959C" w14:textId="77777777" w:rsidR="00035A58" w:rsidRDefault="00035A58" w:rsidP="00035A58">
            <w:pPr>
              <w:tabs>
                <w:tab w:val="left" w:pos="1185"/>
                <w:tab w:val="left" w:pos="3595"/>
              </w:tabs>
              <w:spacing w:line="264" w:lineRule="auto"/>
              <w:rPr>
                <w:b/>
                <w:lang w:val="nl-NL"/>
              </w:rPr>
            </w:pPr>
          </w:p>
          <w:p w14:paraId="24824FD3" w14:textId="77777777" w:rsidR="00035A58" w:rsidRPr="00F9217C" w:rsidRDefault="00035A58" w:rsidP="00035A58">
            <w:pPr>
              <w:widowControl w:val="0"/>
              <w:autoSpaceDE w:val="0"/>
              <w:autoSpaceDN w:val="0"/>
              <w:adjustRightInd w:val="0"/>
              <w:jc w:val="center"/>
              <w:rPr>
                <w:b/>
                <w:bCs/>
                <w:color w:val="000000"/>
              </w:rPr>
            </w:pPr>
            <w:r>
              <w:rPr>
                <w:b/>
                <w:lang w:val="nl-NL"/>
              </w:rPr>
              <w:t>Nguyễn Thanh Tịnh</w:t>
            </w:r>
          </w:p>
        </w:tc>
      </w:tr>
    </w:tbl>
    <w:p w14:paraId="609296C9" w14:textId="77777777" w:rsidR="005F7FED" w:rsidRDefault="005F7FED" w:rsidP="00D41559"/>
    <w:sectPr w:rsidR="005F7FED" w:rsidSect="005F7FED">
      <w:headerReference w:type="default" r:id="rId8"/>
      <w:footerReference w:type="first" r:id="rId9"/>
      <w:pgSz w:w="11909" w:h="16834" w:code="9"/>
      <w:pgMar w:top="1134" w:right="1134" w:bottom="907" w:left="1701"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822B4" w14:textId="77777777" w:rsidR="005B2E17" w:rsidRDefault="005B2E17">
      <w:r>
        <w:separator/>
      </w:r>
    </w:p>
  </w:endnote>
  <w:endnote w:type="continuationSeparator" w:id="0">
    <w:p w14:paraId="1BE6BA7E" w14:textId="77777777" w:rsidR="005B2E17" w:rsidRDefault="005B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default"/>
    <w:sig w:usb0="E0002AEF" w:usb1="C0007841" w:usb2="00000009" w:usb3="00000000" w:csb0="400001FF" w:csb1="FFFF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93FF1" w14:textId="77777777" w:rsidR="00181B39" w:rsidRDefault="00181B39">
    <w:pPr>
      <w:pStyle w:val="Footer"/>
      <w:jc w:val="center"/>
    </w:pPr>
  </w:p>
  <w:p w14:paraId="5326DE83" w14:textId="77777777" w:rsidR="00181B39" w:rsidRDefault="00181B3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3C4E3" w14:textId="77777777" w:rsidR="005B2E17" w:rsidRDefault="005B2E17">
      <w:r>
        <w:separator/>
      </w:r>
    </w:p>
  </w:footnote>
  <w:footnote w:type="continuationSeparator" w:id="0">
    <w:p w14:paraId="4D32FA6B" w14:textId="77777777" w:rsidR="005B2E17" w:rsidRDefault="005B2E17">
      <w:r>
        <w:continuationSeparator/>
      </w:r>
    </w:p>
  </w:footnote>
  <w:footnote w:id="1">
    <w:p w14:paraId="365EDAB5" w14:textId="77777777" w:rsidR="00181B39" w:rsidRDefault="00181B39" w:rsidP="00CE725A">
      <w:pPr>
        <w:pStyle w:val="FootnoteText"/>
        <w:ind w:firstLine="284"/>
      </w:pPr>
      <w:r>
        <w:rPr>
          <w:rStyle w:val="FootnoteReference"/>
          <w:rFonts w:hint="eastAsia"/>
        </w:rPr>
        <w:footnoteRef/>
      </w:r>
      <w:r>
        <w:t xml:space="preserve"> </w:t>
      </w:r>
      <w:r w:rsidRPr="00F4243B">
        <w:rPr>
          <w:rFonts w:ascii="Times New Roman" w:hAnsi="Times New Roman"/>
        </w:rPr>
        <w:t>Theo đánh giá của Ngân hàng Thế giới năm 2018, chi phí thông quan giảm 19 USD/01 lô hàng, giúp tiết kiệm trên 200 triệu USD/12 triệu tờ khai, tương đương trên 4.000 tỷ đồng (hàng luồng xanh, thông quan: 1-3 giây, tỷ lệ lô hàng nhập khẩu phải kiểm tra chuyên ngành: 19,1%).</w:t>
      </w:r>
    </w:p>
  </w:footnote>
  <w:footnote w:id="2">
    <w:p w14:paraId="6FF91BA1" w14:textId="77777777" w:rsidR="00181B39" w:rsidRPr="0064190E" w:rsidRDefault="00181B39" w:rsidP="005D1959">
      <w:pPr>
        <w:pStyle w:val="FootnoteText"/>
        <w:ind w:firstLine="284"/>
      </w:pPr>
      <w:r w:rsidRPr="0064190E">
        <w:rPr>
          <w:rStyle w:val="FootnoteReference"/>
          <w:rFonts w:hint="eastAsia"/>
        </w:rPr>
        <w:footnoteRef/>
      </w:r>
      <w:r w:rsidRPr="0064190E">
        <w:t xml:space="preserve"> Nghị quyết số 66/NQ-CP ngày 26/3/2025 </w:t>
      </w:r>
    </w:p>
  </w:footnote>
  <w:footnote w:id="3">
    <w:p w14:paraId="42A5F370" w14:textId="77777777" w:rsidR="00181B39" w:rsidRPr="00B926CA" w:rsidRDefault="00181B39" w:rsidP="005D1959">
      <w:pPr>
        <w:pStyle w:val="FootnoteText"/>
        <w:ind w:firstLine="284"/>
      </w:pPr>
      <w:r w:rsidRPr="00B926CA">
        <w:rPr>
          <w:rStyle w:val="FootnoteReference"/>
          <w:rFonts w:hint="eastAsia"/>
        </w:rPr>
        <w:footnoteRef/>
      </w:r>
      <w:r w:rsidRPr="00B926CA">
        <w:t xml:space="preserve"> Bãi bỏ 606 TTHC, đơn giản hóa 2.479 TTHC.</w:t>
      </w:r>
    </w:p>
  </w:footnote>
  <w:footnote w:id="4">
    <w:p w14:paraId="7378E494" w14:textId="77777777" w:rsidR="00181B39" w:rsidRPr="00B926CA" w:rsidRDefault="00181B39" w:rsidP="005D1959">
      <w:pPr>
        <w:pStyle w:val="FootnoteText"/>
        <w:ind w:firstLine="284"/>
      </w:pPr>
      <w:r w:rsidRPr="00F109C2">
        <w:rPr>
          <w:rStyle w:val="FootnoteReference"/>
          <w:rFonts w:hint="eastAsia"/>
        </w:rPr>
        <w:footnoteRef/>
      </w:r>
      <w:r w:rsidRPr="00F109C2">
        <w:t xml:space="preserve"> </w:t>
      </w:r>
      <w:r w:rsidRPr="00B926CA">
        <w:t xml:space="preserve">Cụ thể: (i) Thủ tướng Chính phủ phê duyệt và các bộ đã phê duyệt phương án cắt giảm 357 TTHC, đơn giản hóa 1.819 TTHC; cắt giảm 2.151 </w:t>
      </w:r>
      <w:r>
        <w:t>ĐKKD</w:t>
      </w:r>
      <w:r w:rsidRPr="00B926CA">
        <w:t xml:space="preserve"> thuộc phạm vi quản lý của 14 bộ, cơ quan ngang bộ</w:t>
      </w:r>
      <w:r>
        <w:t>;</w:t>
      </w:r>
      <w:r w:rsidRPr="00B926CA">
        <w:t xml:space="preserve"> (ii) Đồng thời, các bộ đã chủ động thực hiện cắt giảm (bãi bỏ) 249 TTHC, đơn giản hóa 759 TTHC; cắt giảm (bãi bỏ) 220 </w:t>
      </w:r>
      <w:r>
        <w:t>ĐKKD</w:t>
      </w:r>
      <w:r w:rsidRPr="00B926CA">
        <w:t>.</w:t>
      </w:r>
    </w:p>
  </w:footnote>
  <w:footnote w:id="5">
    <w:p w14:paraId="7FE5FA3F" w14:textId="77777777" w:rsidR="00181B39" w:rsidRPr="00152DDA" w:rsidRDefault="00181B39" w:rsidP="00C50FD9">
      <w:pPr>
        <w:pStyle w:val="FootnoteText"/>
        <w:ind w:firstLine="284"/>
        <w:rPr>
          <w:rFonts w:ascii="Times New Roman" w:hAnsi="Times New Roman"/>
          <w:spacing w:val="-2"/>
          <w:sz w:val="16"/>
          <w:szCs w:val="16"/>
          <w:lang w:val="vi-VN"/>
        </w:rPr>
      </w:pPr>
      <w:r w:rsidRPr="00152DDA">
        <w:rPr>
          <w:rStyle w:val="FootnoteReference"/>
          <w:rFonts w:hint="eastAsia"/>
          <w:spacing w:val="-2"/>
          <w:sz w:val="16"/>
          <w:szCs w:val="16"/>
        </w:rPr>
        <w:footnoteRef/>
      </w:r>
      <w:r w:rsidRPr="00152DDA">
        <w:rPr>
          <w:spacing w:val="-2"/>
          <w:sz w:val="16"/>
          <w:szCs w:val="16"/>
        </w:rPr>
        <w:t xml:space="preserve"> </w:t>
      </w:r>
      <w:r w:rsidRPr="00152DDA">
        <w:rPr>
          <w:rFonts w:ascii="Times New Roman" w:hAnsi="Times New Roman"/>
          <w:spacing w:val="-2"/>
          <w:sz w:val="16"/>
          <w:szCs w:val="16"/>
        </w:rPr>
        <w:t>Gồm: 786 TTHC có thành phần hồ sơ thay thế bằng dữ liệu; 08 TTHC cắt giảm thành phần hồ sơ</w:t>
      </w:r>
      <w:r w:rsidRPr="00152DDA">
        <w:rPr>
          <w:rFonts w:ascii="Times New Roman" w:hAnsi="Times New Roman"/>
          <w:spacing w:val="-2"/>
          <w:sz w:val="16"/>
          <w:szCs w:val="16"/>
          <w:lang w:val="vi-VN"/>
        </w:rPr>
        <w:t>.</w:t>
      </w:r>
    </w:p>
  </w:footnote>
  <w:footnote w:id="6">
    <w:p w14:paraId="34BE4616" w14:textId="77777777" w:rsidR="00181B39" w:rsidRPr="0090337A" w:rsidRDefault="00181B39" w:rsidP="00C50FD9">
      <w:pPr>
        <w:pStyle w:val="FootnoteText"/>
        <w:tabs>
          <w:tab w:val="left" w:pos="0"/>
        </w:tabs>
        <w:ind w:firstLine="284"/>
        <w:rPr>
          <w:rFonts w:ascii="Times New Roman" w:hAnsi="Times New Roman"/>
          <w:sz w:val="16"/>
          <w:szCs w:val="16"/>
          <w:lang w:val="vi-VN"/>
        </w:rPr>
      </w:pPr>
      <w:r w:rsidRPr="00152DDA">
        <w:rPr>
          <w:rStyle w:val="FootnoteReference"/>
          <w:rFonts w:ascii="Times New Roman" w:hAnsi="Times New Roman"/>
          <w:sz w:val="16"/>
          <w:szCs w:val="16"/>
        </w:rPr>
        <w:footnoteRef/>
      </w:r>
      <w:r w:rsidRPr="0090337A">
        <w:rPr>
          <w:rFonts w:ascii="Times New Roman" w:hAnsi="Times New Roman"/>
          <w:sz w:val="16"/>
          <w:szCs w:val="16"/>
          <w:lang w:val="vi-VN"/>
        </w:rPr>
        <w:t xml:space="preserve"> Đến nay, CSDL quốc gia về dân cư đã kết nối, chia sẻ với 15 bộ, cơ quan, 34 địa phương, 04 DNNN; gần 64 triệu tài khoản định danh điện tử đã được kích hoạt, cung cấp 56/74 DVC thiết yếu, cấp 100% CCCD gắn chíp…</w:t>
      </w:r>
    </w:p>
  </w:footnote>
  <w:footnote w:id="7">
    <w:p w14:paraId="029395EF" w14:textId="77777777" w:rsidR="00181B39" w:rsidRPr="0090337A" w:rsidRDefault="00181B39" w:rsidP="00C50FD9">
      <w:pPr>
        <w:pStyle w:val="FootnoteText"/>
        <w:spacing w:after="60"/>
        <w:ind w:firstLine="284"/>
        <w:rPr>
          <w:rFonts w:ascii="Times New Roman" w:hAnsi="Times New Roman"/>
          <w:sz w:val="16"/>
          <w:szCs w:val="16"/>
          <w:lang w:val="vi-VN"/>
        </w:rPr>
      </w:pPr>
      <w:r w:rsidRPr="00152DDA">
        <w:rPr>
          <w:rStyle w:val="FootnoteReference"/>
          <w:rFonts w:ascii="Times New Roman" w:hAnsi="Times New Roman"/>
          <w:sz w:val="16"/>
          <w:szCs w:val="16"/>
        </w:rPr>
        <w:footnoteRef/>
      </w:r>
      <w:r w:rsidRPr="0090337A">
        <w:rPr>
          <w:rFonts w:ascii="Times New Roman" w:hAnsi="Times New Roman"/>
          <w:sz w:val="16"/>
          <w:szCs w:val="16"/>
          <w:lang w:val="vi-VN"/>
        </w:rPr>
        <w:t xml:space="preserve"> Những kết quả trên đã tác động trực tiếp đến chỉ số Online Service Index (OSI) – một trong ba cấu phần của bộ chỉ số về Chính phủ điện tử (EGDI) do Liên hợp quốc đánh giá. Việt Nam đáp ứng 9–10/12 tiêu chí OSI, đặc biệt ở các nhóm về dịch vụ công trực tuyến mức độ 3–4, định danh điện tử, liên thông dữ liệu, phản hồi công dân và giám sát trực tuyến, ước tính đóng góp 0,18–0,25 điểm OSI, tương ứng tăng 2–3 bậc xếp hạng EGDI toàn cầu năm 2024. Các tổ chức quốc tế ghi nhận là một trong những mô hình có tốc độ cải thiện chỉ số EGDI nhanh hàng đầu khu vực, tiệm cận nhóm quốc gia dẫn đầu như Hàn Quốc, Đan Mạch.</w:t>
      </w:r>
    </w:p>
  </w:footnote>
  <w:footnote w:id="8">
    <w:p w14:paraId="72EBA06D" w14:textId="77777777" w:rsidR="00181B39" w:rsidRPr="0090337A" w:rsidRDefault="00181B39" w:rsidP="00C50FD9">
      <w:pPr>
        <w:pStyle w:val="FootnoteText"/>
        <w:ind w:firstLine="284"/>
        <w:rPr>
          <w:sz w:val="16"/>
          <w:szCs w:val="16"/>
          <w:lang w:val="vi-VN"/>
        </w:rPr>
      </w:pPr>
      <w:r w:rsidRPr="00152DDA">
        <w:rPr>
          <w:rStyle w:val="FootnoteReference"/>
          <w:rFonts w:hint="eastAsia"/>
          <w:sz w:val="16"/>
          <w:szCs w:val="16"/>
        </w:rPr>
        <w:footnoteRef/>
      </w:r>
      <w:r w:rsidRPr="0090337A">
        <w:rPr>
          <w:sz w:val="16"/>
          <w:szCs w:val="16"/>
          <w:lang w:val="vi-VN"/>
        </w:rPr>
        <w:t xml:space="preserve"> Nếu phân chia TTHC theo cấp hành chính (có một số TTHC do nhiều cấp hành chính thực hiện tùy thuộc vào quy mô, tính chất, đặc điểm của đối tượng thực hiện, ví dụ, cấp phép xây dựng thực hiện ở cấp tỉnh và cấp xã) thì tổng số TTHC là 6.151 TTHC, cụ thể: (i) TTHC do cấp Bộ: 2.781 TTHC; (ii) TTHC do cấp tỉnh thực hiện (kể cả các TTHC do các cơ quan ngành dọc cấp tỉnh thực hiện như: Thuế, Bảo hiểm xã hội,…): 2.482 TTHC; (iii) TTHC do cấp xã thực hiện (kể cả các TTHC do các cơ quan ngành dọc ở cấp khu vực thực hiện như: Thuế, Bảo hiểm xã hội,…): 803 TTHC; (iv) TTHC do các cơ quan khác thực hiện (như cơ quan đại diện Việt Nam ở nước ngoài; Bệnh viện, Trường học,…): 139 TTHC.</w:t>
      </w:r>
    </w:p>
  </w:footnote>
  <w:footnote w:id="9">
    <w:p w14:paraId="5476750D" w14:textId="77777777" w:rsidR="00181B39" w:rsidRPr="0090337A" w:rsidRDefault="00181B39" w:rsidP="00C50FD9">
      <w:pPr>
        <w:pStyle w:val="FootnoteText"/>
        <w:ind w:firstLine="284"/>
        <w:rPr>
          <w:sz w:val="16"/>
          <w:szCs w:val="16"/>
          <w:lang w:val="vi-VN"/>
        </w:rPr>
      </w:pPr>
      <w:r w:rsidRPr="00152DDA">
        <w:rPr>
          <w:rStyle w:val="FootnoteReference"/>
          <w:rFonts w:hint="eastAsia"/>
          <w:sz w:val="16"/>
          <w:szCs w:val="16"/>
        </w:rPr>
        <w:footnoteRef/>
      </w:r>
      <w:r w:rsidRPr="0090337A">
        <w:rPr>
          <w:sz w:val="16"/>
          <w:szCs w:val="16"/>
          <w:lang w:val="vi-VN"/>
        </w:rPr>
        <w:t xml:space="preserve"> 313 TTHC cấp tỉnh; (ii) 82 TTHC cấp xã.</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4076402"/>
      <w:docPartObj>
        <w:docPartGallery w:val="Page Numbers (Top of Page)"/>
        <w:docPartUnique/>
      </w:docPartObj>
    </w:sdtPr>
    <w:sdtEndPr/>
    <w:sdtContent>
      <w:p w14:paraId="401B31A6" w14:textId="3CC36366" w:rsidR="00181B39" w:rsidRDefault="00181B39">
        <w:pPr>
          <w:pStyle w:val="Header"/>
          <w:jc w:val="center"/>
        </w:pPr>
        <w:r>
          <w:fldChar w:fldCharType="begin"/>
        </w:r>
        <w:r>
          <w:instrText>PAGE   \* MERGEFORMAT</w:instrText>
        </w:r>
        <w:r>
          <w:fldChar w:fldCharType="separate"/>
        </w:r>
        <w:r w:rsidR="00F4243B" w:rsidRPr="00F4243B">
          <w:rPr>
            <w:noProof/>
            <w:lang w:val="vi-VN"/>
          </w:rPr>
          <w:t>24</w:t>
        </w:r>
        <w:r>
          <w:fldChar w:fldCharType="end"/>
        </w:r>
      </w:p>
    </w:sdtContent>
  </w:sdt>
  <w:p w14:paraId="6E4C7828" w14:textId="77777777" w:rsidR="00181B39" w:rsidRDefault="00181B3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D5B28"/>
    <w:multiLevelType w:val="hybridMultilevel"/>
    <w:tmpl w:val="9B48B416"/>
    <w:lvl w:ilvl="0" w:tplc="4A96D8A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14874684"/>
    <w:multiLevelType w:val="hybridMultilevel"/>
    <w:tmpl w:val="1FA8FB10"/>
    <w:lvl w:ilvl="0" w:tplc="D0248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64E3304"/>
    <w:multiLevelType w:val="hybridMultilevel"/>
    <w:tmpl w:val="EC9E22A8"/>
    <w:lvl w:ilvl="0" w:tplc="BF86135C">
      <w:start w:val="1"/>
      <w:numFmt w:val="decimal"/>
      <w:lvlText w:val="%1."/>
      <w:lvlJc w:val="left"/>
      <w:pPr>
        <w:ind w:left="927" w:hanging="360"/>
      </w:pPr>
      <w:rPr>
        <w:rFonts w:hint="default"/>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BD07F2F"/>
    <w:multiLevelType w:val="hybridMultilevel"/>
    <w:tmpl w:val="D7C09392"/>
    <w:lvl w:ilvl="0" w:tplc="CD9A27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52A412A"/>
    <w:multiLevelType w:val="hybridMultilevel"/>
    <w:tmpl w:val="8ED60E5E"/>
    <w:lvl w:ilvl="0" w:tplc="D6168D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9832F2"/>
    <w:multiLevelType w:val="hybridMultilevel"/>
    <w:tmpl w:val="F64C4D24"/>
    <w:lvl w:ilvl="0" w:tplc="01F8D5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7" w15:restartNumberingAfterBreak="0">
    <w:nsid w:val="73AA0D4B"/>
    <w:multiLevelType w:val="hybridMultilevel"/>
    <w:tmpl w:val="9E489DB6"/>
    <w:lvl w:ilvl="0" w:tplc="C226BECE">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9" w15:restartNumberingAfterBreak="0">
    <w:nsid w:val="7C6206B8"/>
    <w:multiLevelType w:val="hybridMultilevel"/>
    <w:tmpl w:val="E95E40D0"/>
    <w:lvl w:ilvl="0" w:tplc="779C18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D057B0F"/>
    <w:multiLevelType w:val="hybridMultilevel"/>
    <w:tmpl w:val="35F69E30"/>
    <w:lvl w:ilvl="0" w:tplc="90FA7502">
      <w:start w:val="1"/>
      <w:numFmt w:val="lowerLetter"/>
      <w:lvlText w:val="%1)"/>
      <w:lvlJc w:val="left"/>
      <w:pPr>
        <w:ind w:left="927" w:hanging="360"/>
      </w:pPr>
      <w:rPr>
        <w:rFonts w:hint="default"/>
        <w:b/>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8"/>
  </w:num>
  <w:num w:numId="3">
    <w:abstractNumId w:val="9"/>
  </w:num>
  <w:num w:numId="4">
    <w:abstractNumId w:val="1"/>
  </w:num>
  <w:num w:numId="5">
    <w:abstractNumId w:val="4"/>
  </w:num>
  <w:num w:numId="6">
    <w:abstractNumId w:val="5"/>
  </w:num>
  <w:num w:numId="7">
    <w:abstractNumId w:val="10"/>
  </w:num>
  <w:num w:numId="8">
    <w:abstractNumId w:val="0"/>
  </w:num>
  <w:num w:numId="9">
    <w:abstractNumId w:val="7"/>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835"/>
    <w:rsid w:val="00002152"/>
    <w:rsid w:val="00017EF9"/>
    <w:rsid w:val="00017FDD"/>
    <w:rsid w:val="00035A58"/>
    <w:rsid w:val="00042316"/>
    <w:rsid w:val="0004626D"/>
    <w:rsid w:val="0006193E"/>
    <w:rsid w:val="000C4BA4"/>
    <w:rsid w:val="000C6131"/>
    <w:rsid w:val="000D34EF"/>
    <w:rsid w:val="000E03D2"/>
    <w:rsid w:val="000E2C77"/>
    <w:rsid w:val="0010352E"/>
    <w:rsid w:val="00141EF0"/>
    <w:rsid w:val="0014586A"/>
    <w:rsid w:val="00151F62"/>
    <w:rsid w:val="00152DDA"/>
    <w:rsid w:val="00170243"/>
    <w:rsid w:val="0017675B"/>
    <w:rsid w:val="00181210"/>
    <w:rsid w:val="00181B39"/>
    <w:rsid w:val="0019119B"/>
    <w:rsid w:val="001923B8"/>
    <w:rsid w:val="00197FE0"/>
    <w:rsid w:val="001A7A18"/>
    <w:rsid w:val="001B0C15"/>
    <w:rsid w:val="001C6922"/>
    <w:rsid w:val="001D1DC8"/>
    <w:rsid w:val="001E73FE"/>
    <w:rsid w:val="002506EB"/>
    <w:rsid w:val="00252BDF"/>
    <w:rsid w:val="0025730C"/>
    <w:rsid w:val="00262A30"/>
    <w:rsid w:val="00262F94"/>
    <w:rsid w:val="00264049"/>
    <w:rsid w:val="00265473"/>
    <w:rsid w:val="00266416"/>
    <w:rsid w:val="0027051E"/>
    <w:rsid w:val="0027212D"/>
    <w:rsid w:val="00286DA9"/>
    <w:rsid w:val="00287100"/>
    <w:rsid w:val="00290771"/>
    <w:rsid w:val="002A63EF"/>
    <w:rsid w:val="002C33FC"/>
    <w:rsid w:val="002F1738"/>
    <w:rsid w:val="002F5B72"/>
    <w:rsid w:val="003022DB"/>
    <w:rsid w:val="00312675"/>
    <w:rsid w:val="00312FD5"/>
    <w:rsid w:val="00326945"/>
    <w:rsid w:val="00345668"/>
    <w:rsid w:val="003512F8"/>
    <w:rsid w:val="00351AC5"/>
    <w:rsid w:val="00361D32"/>
    <w:rsid w:val="00362710"/>
    <w:rsid w:val="003636D8"/>
    <w:rsid w:val="00381433"/>
    <w:rsid w:val="003B3524"/>
    <w:rsid w:val="003C07A6"/>
    <w:rsid w:val="003C110F"/>
    <w:rsid w:val="003D36EB"/>
    <w:rsid w:val="003E21C5"/>
    <w:rsid w:val="003E28EC"/>
    <w:rsid w:val="003E5004"/>
    <w:rsid w:val="003E685F"/>
    <w:rsid w:val="003E7711"/>
    <w:rsid w:val="0040766E"/>
    <w:rsid w:val="004160A8"/>
    <w:rsid w:val="00420CA0"/>
    <w:rsid w:val="00420E55"/>
    <w:rsid w:val="00432254"/>
    <w:rsid w:val="0043743F"/>
    <w:rsid w:val="00437964"/>
    <w:rsid w:val="004621D5"/>
    <w:rsid w:val="004625F3"/>
    <w:rsid w:val="004629B0"/>
    <w:rsid w:val="0048688D"/>
    <w:rsid w:val="0049146E"/>
    <w:rsid w:val="00491836"/>
    <w:rsid w:val="004B6E8B"/>
    <w:rsid w:val="004C0522"/>
    <w:rsid w:val="004C0532"/>
    <w:rsid w:val="004D0BE3"/>
    <w:rsid w:val="004D631C"/>
    <w:rsid w:val="004F0DBB"/>
    <w:rsid w:val="005103A1"/>
    <w:rsid w:val="00513E46"/>
    <w:rsid w:val="0052186C"/>
    <w:rsid w:val="00524715"/>
    <w:rsid w:val="0053424F"/>
    <w:rsid w:val="0053588C"/>
    <w:rsid w:val="00544E3C"/>
    <w:rsid w:val="00550F0B"/>
    <w:rsid w:val="00556CF6"/>
    <w:rsid w:val="00557821"/>
    <w:rsid w:val="005670A2"/>
    <w:rsid w:val="0057619E"/>
    <w:rsid w:val="00582846"/>
    <w:rsid w:val="005A119B"/>
    <w:rsid w:val="005B2E17"/>
    <w:rsid w:val="005B4C42"/>
    <w:rsid w:val="005C061A"/>
    <w:rsid w:val="005C0D19"/>
    <w:rsid w:val="005D1959"/>
    <w:rsid w:val="005D616E"/>
    <w:rsid w:val="005E2BCF"/>
    <w:rsid w:val="005F3011"/>
    <w:rsid w:val="005F4102"/>
    <w:rsid w:val="005F7FED"/>
    <w:rsid w:val="00604A0C"/>
    <w:rsid w:val="00610BFB"/>
    <w:rsid w:val="00610D34"/>
    <w:rsid w:val="0063426E"/>
    <w:rsid w:val="006365CC"/>
    <w:rsid w:val="006625A6"/>
    <w:rsid w:val="0069749D"/>
    <w:rsid w:val="006A1CA5"/>
    <w:rsid w:val="006A544D"/>
    <w:rsid w:val="006B2606"/>
    <w:rsid w:val="006B2F40"/>
    <w:rsid w:val="006B790A"/>
    <w:rsid w:val="006C5FFF"/>
    <w:rsid w:val="006C692C"/>
    <w:rsid w:val="00700293"/>
    <w:rsid w:val="00701AFA"/>
    <w:rsid w:val="007115AE"/>
    <w:rsid w:val="00712FF2"/>
    <w:rsid w:val="00715895"/>
    <w:rsid w:val="00724576"/>
    <w:rsid w:val="00730849"/>
    <w:rsid w:val="00734FA0"/>
    <w:rsid w:val="007531D5"/>
    <w:rsid w:val="00753B5B"/>
    <w:rsid w:val="0076128C"/>
    <w:rsid w:val="0076675A"/>
    <w:rsid w:val="0076692A"/>
    <w:rsid w:val="007674EE"/>
    <w:rsid w:val="007725AC"/>
    <w:rsid w:val="00772E18"/>
    <w:rsid w:val="00772EB3"/>
    <w:rsid w:val="00773DA9"/>
    <w:rsid w:val="007B723E"/>
    <w:rsid w:val="007E04A4"/>
    <w:rsid w:val="007E6FC1"/>
    <w:rsid w:val="007F3B3D"/>
    <w:rsid w:val="0080193E"/>
    <w:rsid w:val="00813FF3"/>
    <w:rsid w:val="008165A6"/>
    <w:rsid w:val="00827C77"/>
    <w:rsid w:val="008336B0"/>
    <w:rsid w:val="00835C70"/>
    <w:rsid w:val="00842D13"/>
    <w:rsid w:val="00843E4D"/>
    <w:rsid w:val="00846A7E"/>
    <w:rsid w:val="00851D91"/>
    <w:rsid w:val="00867651"/>
    <w:rsid w:val="00883194"/>
    <w:rsid w:val="008A4ADB"/>
    <w:rsid w:val="008B7CDE"/>
    <w:rsid w:val="008D24F9"/>
    <w:rsid w:val="008D7B15"/>
    <w:rsid w:val="008E4A37"/>
    <w:rsid w:val="008E58C3"/>
    <w:rsid w:val="008E5F51"/>
    <w:rsid w:val="0090337A"/>
    <w:rsid w:val="009208F8"/>
    <w:rsid w:val="00927B4D"/>
    <w:rsid w:val="00936BE3"/>
    <w:rsid w:val="0094563C"/>
    <w:rsid w:val="00963C46"/>
    <w:rsid w:val="009675F1"/>
    <w:rsid w:val="00990424"/>
    <w:rsid w:val="009A69E1"/>
    <w:rsid w:val="009A6FB0"/>
    <w:rsid w:val="009B64C7"/>
    <w:rsid w:val="009C036D"/>
    <w:rsid w:val="009C2D8C"/>
    <w:rsid w:val="009E0403"/>
    <w:rsid w:val="009E1251"/>
    <w:rsid w:val="009E1B32"/>
    <w:rsid w:val="009E4F1A"/>
    <w:rsid w:val="00A06EEF"/>
    <w:rsid w:val="00A26A5D"/>
    <w:rsid w:val="00A2755B"/>
    <w:rsid w:val="00A4376D"/>
    <w:rsid w:val="00A85C2E"/>
    <w:rsid w:val="00AA09F3"/>
    <w:rsid w:val="00AA4D48"/>
    <w:rsid w:val="00AB1C21"/>
    <w:rsid w:val="00AB3F92"/>
    <w:rsid w:val="00AB44AB"/>
    <w:rsid w:val="00AC267A"/>
    <w:rsid w:val="00AC6558"/>
    <w:rsid w:val="00AF00C9"/>
    <w:rsid w:val="00AF2835"/>
    <w:rsid w:val="00B06231"/>
    <w:rsid w:val="00B06CF3"/>
    <w:rsid w:val="00B227A8"/>
    <w:rsid w:val="00B3127D"/>
    <w:rsid w:val="00B45F12"/>
    <w:rsid w:val="00B5635B"/>
    <w:rsid w:val="00B6450A"/>
    <w:rsid w:val="00B65604"/>
    <w:rsid w:val="00B73F4E"/>
    <w:rsid w:val="00B743AE"/>
    <w:rsid w:val="00B77195"/>
    <w:rsid w:val="00B82362"/>
    <w:rsid w:val="00B829E0"/>
    <w:rsid w:val="00B9053E"/>
    <w:rsid w:val="00BA3F8F"/>
    <w:rsid w:val="00BA4638"/>
    <w:rsid w:val="00BB204A"/>
    <w:rsid w:val="00BB5F17"/>
    <w:rsid w:val="00BB6E3D"/>
    <w:rsid w:val="00BC5E30"/>
    <w:rsid w:val="00BE28E5"/>
    <w:rsid w:val="00BE3F79"/>
    <w:rsid w:val="00BE74A0"/>
    <w:rsid w:val="00BF2B69"/>
    <w:rsid w:val="00BF4B41"/>
    <w:rsid w:val="00C01D6A"/>
    <w:rsid w:val="00C17F24"/>
    <w:rsid w:val="00C50290"/>
    <w:rsid w:val="00C50FD9"/>
    <w:rsid w:val="00C8570B"/>
    <w:rsid w:val="00C85C85"/>
    <w:rsid w:val="00C85C9F"/>
    <w:rsid w:val="00CA4CC5"/>
    <w:rsid w:val="00CA577E"/>
    <w:rsid w:val="00CA7995"/>
    <w:rsid w:val="00CC7725"/>
    <w:rsid w:val="00CE3782"/>
    <w:rsid w:val="00CE3F38"/>
    <w:rsid w:val="00CE6720"/>
    <w:rsid w:val="00CE725A"/>
    <w:rsid w:val="00D042A5"/>
    <w:rsid w:val="00D13695"/>
    <w:rsid w:val="00D1786C"/>
    <w:rsid w:val="00D266EE"/>
    <w:rsid w:val="00D344F3"/>
    <w:rsid w:val="00D35967"/>
    <w:rsid w:val="00D35E72"/>
    <w:rsid w:val="00D41559"/>
    <w:rsid w:val="00D42325"/>
    <w:rsid w:val="00D5514A"/>
    <w:rsid w:val="00D62962"/>
    <w:rsid w:val="00D919E8"/>
    <w:rsid w:val="00DA131B"/>
    <w:rsid w:val="00DA702B"/>
    <w:rsid w:val="00DB0CA5"/>
    <w:rsid w:val="00DB20F2"/>
    <w:rsid w:val="00DC07C6"/>
    <w:rsid w:val="00DC20E9"/>
    <w:rsid w:val="00DC5CBD"/>
    <w:rsid w:val="00DD4A3F"/>
    <w:rsid w:val="00DD4A4E"/>
    <w:rsid w:val="00DD6381"/>
    <w:rsid w:val="00DE4FBD"/>
    <w:rsid w:val="00DF39C9"/>
    <w:rsid w:val="00DF6F8B"/>
    <w:rsid w:val="00E13101"/>
    <w:rsid w:val="00E1523E"/>
    <w:rsid w:val="00E24B61"/>
    <w:rsid w:val="00E32AFE"/>
    <w:rsid w:val="00E426E6"/>
    <w:rsid w:val="00E70D42"/>
    <w:rsid w:val="00E725F1"/>
    <w:rsid w:val="00E85A18"/>
    <w:rsid w:val="00E946C2"/>
    <w:rsid w:val="00E97DD7"/>
    <w:rsid w:val="00EA2F74"/>
    <w:rsid w:val="00EA482B"/>
    <w:rsid w:val="00EA5F35"/>
    <w:rsid w:val="00EA6A1A"/>
    <w:rsid w:val="00EB273C"/>
    <w:rsid w:val="00EB3906"/>
    <w:rsid w:val="00EB42BA"/>
    <w:rsid w:val="00EC3EC1"/>
    <w:rsid w:val="00ED682F"/>
    <w:rsid w:val="00EE39C2"/>
    <w:rsid w:val="00EE7743"/>
    <w:rsid w:val="00EF217F"/>
    <w:rsid w:val="00F30F99"/>
    <w:rsid w:val="00F4243B"/>
    <w:rsid w:val="00F462B6"/>
    <w:rsid w:val="00F66CCD"/>
    <w:rsid w:val="00F75E73"/>
    <w:rsid w:val="00F85A4E"/>
    <w:rsid w:val="00F9217C"/>
    <w:rsid w:val="00F966F2"/>
    <w:rsid w:val="00F96921"/>
    <w:rsid w:val="00FB2A53"/>
    <w:rsid w:val="00FD37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0BFF089"/>
  <w15:docId w15:val="{C27F07D1-4C6F-48C8-8B10-F2E012F8B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524"/>
    <w:rPr>
      <w:sz w:val="28"/>
      <w:szCs w:val="28"/>
    </w:rPr>
  </w:style>
  <w:style w:type="paragraph" w:styleId="Heading1">
    <w:name w:val="heading 1"/>
    <w:basedOn w:val="Normal"/>
    <w:next w:val="Normal"/>
    <w:link w:val="Heading1Char"/>
    <w:qFormat/>
    <w:rsid w:val="00D35E7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link w:val="FooterChar"/>
    <w:uiPriority w:val="99"/>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character" w:customStyle="1" w:styleId="Heading1Char">
    <w:name w:val="Heading 1 Char"/>
    <w:basedOn w:val="DefaultParagraphFont"/>
    <w:link w:val="Heading1"/>
    <w:rsid w:val="00D35E72"/>
    <w:rPr>
      <w:rFonts w:asciiTheme="majorHAnsi" w:eastAsiaTheme="majorEastAsia" w:hAnsiTheme="majorHAnsi" w:cstheme="majorBidi"/>
      <w:color w:val="365F91" w:themeColor="accent1" w:themeShade="BF"/>
      <w:sz w:val="32"/>
      <w:szCs w:val="32"/>
    </w:rPr>
  </w:style>
  <w:style w:type="character" w:customStyle="1" w:styleId="HeaderChar">
    <w:name w:val="Header Char"/>
    <w:link w:val="Header"/>
    <w:uiPriority w:val="99"/>
    <w:rsid w:val="00D35E72"/>
    <w:rPr>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single spac,fn"/>
    <w:basedOn w:val="Normal"/>
    <w:link w:val="FootnoteTextChar"/>
    <w:uiPriority w:val="99"/>
    <w:qFormat/>
    <w:rsid w:val="00D35E72"/>
    <w:rPr>
      <w:rFonts w:ascii=".VnTime" w:hAnsi=".VnTime"/>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 Char,single spac Char,fn Char"/>
    <w:basedOn w:val="DefaultParagraphFont"/>
    <w:link w:val="FootnoteText"/>
    <w:uiPriority w:val="99"/>
    <w:qFormat/>
    <w:rsid w:val="00D35E72"/>
    <w:rPr>
      <w:rFonts w:ascii=".VnTime" w:hAnsi=".VnTime"/>
    </w:r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
    <w:link w:val="CharChar1CharCharCharChar1CharCharCharCharCharCharCharChar"/>
    <w:uiPriority w:val="99"/>
    <w:qFormat/>
    <w:rsid w:val="00D35E72"/>
    <w:rPr>
      <w:vertAlign w:val="superscript"/>
    </w:rPr>
  </w:style>
  <w:style w:type="paragraph" w:styleId="NormalWeb">
    <w:name w:val="Normal (Web)"/>
    <w:aliases w:val="Char Char Char"/>
    <w:basedOn w:val="Normal"/>
    <w:link w:val="NormalWebChar"/>
    <w:uiPriority w:val="99"/>
    <w:unhideWhenUsed/>
    <w:rsid w:val="00D35E72"/>
    <w:pPr>
      <w:spacing w:before="100" w:beforeAutospacing="1" w:after="100" w:afterAutospacing="1"/>
    </w:pPr>
    <w:rPr>
      <w:sz w:val="24"/>
      <w:szCs w:val="24"/>
    </w:rPr>
  </w:style>
  <w:style w:type="paragraph" w:customStyle="1" w:styleId="n-dieund-p">
    <w:name w:val="n-dieund-p"/>
    <w:basedOn w:val="Normal"/>
    <w:rsid w:val="00D35E72"/>
    <w:pPr>
      <w:jc w:val="both"/>
    </w:pPr>
    <w:rPr>
      <w:sz w:val="20"/>
      <w:szCs w:val="20"/>
    </w:rPr>
  </w:style>
  <w:style w:type="character" w:customStyle="1" w:styleId="FooterChar">
    <w:name w:val="Footer Char"/>
    <w:basedOn w:val="DefaultParagraphFont"/>
    <w:link w:val="Footer"/>
    <w:uiPriority w:val="99"/>
    <w:rsid w:val="00D35E72"/>
    <w:rPr>
      <w:sz w:val="28"/>
      <w:szCs w:val="28"/>
    </w:rPr>
  </w:style>
  <w:style w:type="character" w:customStyle="1" w:styleId="normal-h1">
    <w:name w:val="normal-h1"/>
    <w:rsid w:val="0076128C"/>
    <w:rPr>
      <w:rFonts w:ascii="Times New Roman" w:hAnsi="Times New Roman" w:cs="Times New Roman" w:hint="default"/>
      <w:sz w:val="28"/>
      <w:szCs w:val="28"/>
    </w:rPr>
  </w:style>
  <w:style w:type="character" w:customStyle="1" w:styleId="NormalWebChar">
    <w:name w:val="Normal (Web) Char"/>
    <w:aliases w:val="Char Char Char Char1"/>
    <w:link w:val="NormalWeb"/>
    <w:rsid w:val="00DA131B"/>
    <w:rPr>
      <w:sz w:val="24"/>
      <w:szCs w:val="24"/>
    </w:rPr>
  </w:style>
  <w:style w:type="character" w:styleId="Strong">
    <w:name w:val="Strong"/>
    <w:uiPriority w:val="22"/>
    <w:qFormat/>
    <w:rsid w:val="00730849"/>
    <w:rPr>
      <w:b/>
      <w:bC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730849"/>
    <w:pPr>
      <w:spacing w:after="160" w:line="240" w:lineRule="exact"/>
    </w:pPr>
    <w:rPr>
      <w:sz w:val="20"/>
      <w:szCs w:val="20"/>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CE725A"/>
    <w:pPr>
      <w:ind w:left="153" w:hanging="153"/>
      <w:jc w:val="both"/>
    </w:pPr>
    <w:rPr>
      <w:rFonts w:ascii="Times New Roman Bold" w:eastAsiaTheme="minorHAnsi" w:hAnsi="Times New Roman Bold" w:cstheme="minorBidi"/>
      <w:b/>
      <w:sz w:val="22"/>
      <w:szCs w:val="22"/>
      <w:vertAlign w:val="superscript"/>
    </w:rPr>
  </w:style>
  <w:style w:type="character" w:styleId="Emphasis">
    <w:name w:val="Emphasis"/>
    <w:basedOn w:val="DefaultParagraphFont"/>
    <w:uiPriority w:val="20"/>
    <w:qFormat/>
    <w:rsid w:val="003512F8"/>
    <w:rPr>
      <w:i/>
      <w:iCs/>
    </w:rPr>
  </w:style>
  <w:style w:type="character" w:customStyle="1" w:styleId="whitespace-normal">
    <w:name w:val="whitespace-normal"/>
    <w:basedOn w:val="DefaultParagraphFont"/>
    <w:rsid w:val="00EB42BA"/>
  </w:style>
  <w:style w:type="paragraph" w:styleId="ListParagraph">
    <w:name w:val="List Paragraph"/>
    <w:basedOn w:val="Normal"/>
    <w:uiPriority w:val="34"/>
    <w:qFormat/>
    <w:rsid w:val="00EE39C2"/>
    <w:pPr>
      <w:ind w:left="720"/>
      <w:contextualSpacing/>
    </w:pPr>
  </w:style>
  <w:style w:type="paragraph" w:customStyle="1" w:styleId="pdq2pgselectionanchorcontainer">
    <w:name w:val="pdq2pg_selectionanchorcontainer"/>
    <w:basedOn w:val="Normal"/>
    <w:rsid w:val="00F4243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05283">
      <w:bodyDiv w:val="1"/>
      <w:marLeft w:val="0"/>
      <w:marRight w:val="0"/>
      <w:marTop w:val="0"/>
      <w:marBottom w:val="0"/>
      <w:divBdr>
        <w:top w:val="none" w:sz="0" w:space="0" w:color="auto"/>
        <w:left w:val="none" w:sz="0" w:space="0" w:color="auto"/>
        <w:bottom w:val="none" w:sz="0" w:space="0" w:color="auto"/>
        <w:right w:val="none" w:sz="0" w:space="0" w:color="auto"/>
      </w:divBdr>
    </w:div>
    <w:div w:id="111293777">
      <w:bodyDiv w:val="1"/>
      <w:marLeft w:val="0"/>
      <w:marRight w:val="0"/>
      <w:marTop w:val="0"/>
      <w:marBottom w:val="0"/>
      <w:divBdr>
        <w:top w:val="none" w:sz="0" w:space="0" w:color="auto"/>
        <w:left w:val="none" w:sz="0" w:space="0" w:color="auto"/>
        <w:bottom w:val="none" w:sz="0" w:space="0" w:color="auto"/>
        <w:right w:val="none" w:sz="0" w:space="0" w:color="auto"/>
      </w:divBdr>
    </w:div>
    <w:div w:id="168178619">
      <w:bodyDiv w:val="1"/>
      <w:marLeft w:val="0"/>
      <w:marRight w:val="0"/>
      <w:marTop w:val="0"/>
      <w:marBottom w:val="0"/>
      <w:divBdr>
        <w:top w:val="none" w:sz="0" w:space="0" w:color="auto"/>
        <w:left w:val="none" w:sz="0" w:space="0" w:color="auto"/>
        <w:bottom w:val="none" w:sz="0" w:space="0" w:color="auto"/>
        <w:right w:val="none" w:sz="0" w:space="0" w:color="auto"/>
      </w:divBdr>
    </w:div>
    <w:div w:id="234895707">
      <w:bodyDiv w:val="1"/>
      <w:marLeft w:val="0"/>
      <w:marRight w:val="0"/>
      <w:marTop w:val="0"/>
      <w:marBottom w:val="0"/>
      <w:divBdr>
        <w:top w:val="none" w:sz="0" w:space="0" w:color="auto"/>
        <w:left w:val="none" w:sz="0" w:space="0" w:color="auto"/>
        <w:bottom w:val="none" w:sz="0" w:space="0" w:color="auto"/>
        <w:right w:val="none" w:sz="0" w:space="0" w:color="auto"/>
      </w:divBdr>
    </w:div>
    <w:div w:id="346374230">
      <w:bodyDiv w:val="1"/>
      <w:marLeft w:val="0"/>
      <w:marRight w:val="0"/>
      <w:marTop w:val="0"/>
      <w:marBottom w:val="0"/>
      <w:divBdr>
        <w:top w:val="none" w:sz="0" w:space="0" w:color="auto"/>
        <w:left w:val="none" w:sz="0" w:space="0" w:color="auto"/>
        <w:bottom w:val="none" w:sz="0" w:space="0" w:color="auto"/>
        <w:right w:val="none" w:sz="0" w:space="0" w:color="auto"/>
      </w:divBdr>
    </w:div>
    <w:div w:id="398940524">
      <w:bodyDiv w:val="1"/>
      <w:marLeft w:val="0"/>
      <w:marRight w:val="0"/>
      <w:marTop w:val="0"/>
      <w:marBottom w:val="0"/>
      <w:divBdr>
        <w:top w:val="none" w:sz="0" w:space="0" w:color="auto"/>
        <w:left w:val="none" w:sz="0" w:space="0" w:color="auto"/>
        <w:bottom w:val="none" w:sz="0" w:space="0" w:color="auto"/>
        <w:right w:val="none" w:sz="0" w:space="0" w:color="auto"/>
      </w:divBdr>
    </w:div>
    <w:div w:id="438377794">
      <w:bodyDiv w:val="1"/>
      <w:marLeft w:val="0"/>
      <w:marRight w:val="0"/>
      <w:marTop w:val="0"/>
      <w:marBottom w:val="0"/>
      <w:divBdr>
        <w:top w:val="none" w:sz="0" w:space="0" w:color="auto"/>
        <w:left w:val="none" w:sz="0" w:space="0" w:color="auto"/>
        <w:bottom w:val="none" w:sz="0" w:space="0" w:color="auto"/>
        <w:right w:val="none" w:sz="0" w:space="0" w:color="auto"/>
      </w:divBdr>
    </w:div>
    <w:div w:id="477069301">
      <w:bodyDiv w:val="1"/>
      <w:marLeft w:val="0"/>
      <w:marRight w:val="0"/>
      <w:marTop w:val="0"/>
      <w:marBottom w:val="0"/>
      <w:divBdr>
        <w:top w:val="none" w:sz="0" w:space="0" w:color="auto"/>
        <w:left w:val="none" w:sz="0" w:space="0" w:color="auto"/>
        <w:bottom w:val="none" w:sz="0" w:space="0" w:color="auto"/>
        <w:right w:val="none" w:sz="0" w:space="0" w:color="auto"/>
      </w:divBdr>
    </w:div>
    <w:div w:id="538249754">
      <w:bodyDiv w:val="1"/>
      <w:marLeft w:val="0"/>
      <w:marRight w:val="0"/>
      <w:marTop w:val="0"/>
      <w:marBottom w:val="0"/>
      <w:divBdr>
        <w:top w:val="none" w:sz="0" w:space="0" w:color="auto"/>
        <w:left w:val="none" w:sz="0" w:space="0" w:color="auto"/>
        <w:bottom w:val="none" w:sz="0" w:space="0" w:color="auto"/>
        <w:right w:val="none" w:sz="0" w:space="0" w:color="auto"/>
      </w:divBdr>
    </w:div>
    <w:div w:id="554199264">
      <w:bodyDiv w:val="1"/>
      <w:marLeft w:val="0"/>
      <w:marRight w:val="0"/>
      <w:marTop w:val="0"/>
      <w:marBottom w:val="0"/>
      <w:divBdr>
        <w:top w:val="none" w:sz="0" w:space="0" w:color="auto"/>
        <w:left w:val="none" w:sz="0" w:space="0" w:color="auto"/>
        <w:bottom w:val="none" w:sz="0" w:space="0" w:color="auto"/>
        <w:right w:val="none" w:sz="0" w:space="0" w:color="auto"/>
      </w:divBdr>
    </w:div>
    <w:div w:id="588318024">
      <w:bodyDiv w:val="1"/>
      <w:marLeft w:val="0"/>
      <w:marRight w:val="0"/>
      <w:marTop w:val="0"/>
      <w:marBottom w:val="0"/>
      <w:divBdr>
        <w:top w:val="none" w:sz="0" w:space="0" w:color="auto"/>
        <w:left w:val="none" w:sz="0" w:space="0" w:color="auto"/>
        <w:bottom w:val="none" w:sz="0" w:space="0" w:color="auto"/>
        <w:right w:val="none" w:sz="0" w:space="0" w:color="auto"/>
      </w:divBdr>
    </w:div>
    <w:div w:id="610161030">
      <w:bodyDiv w:val="1"/>
      <w:marLeft w:val="0"/>
      <w:marRight w:val="0"/>
      <w:marTop w:val="0"/>
      <w:marBottom w:val="0"/>
      <w:divBdr>
        <w:top w:val="none" w:sz="0" w:space="0" w:color="auto"/>
        <w:left w:val="none" w:sz="0" w:space="0" w:color="auto"/>
        <w:bottom w:val="none" w:sz="0" w:space="0" w:color="auto"/>
        <w:right w:val="none" w:sz="0" w:space="0" w:color="auto"/>
      </w:divBdr>
    </w:div>
    <w:div w:id="616958403">
      <w:bodyDiv w:val="1"/>
      <w:marLeft w:val="0"/>
      <w:marRight w:val="0"/>
      <w:marTop w:val="0"/>
      <w:marBottom w:val="0"/>
      <w:divBdr>
        <w:top w:val="none" w:sz="0" w:space="0" w:color="auto"/>
        <w:left w:val="none" w:sz="0" w:space="0" w:color="auto"/>
        <w:bottom w:val="none" w:sz="0" w:space="0" w:color="auto"/>
        <w:right w:val="none" w:sz="0" w:space="0" w:color="auto"/>
      </w:divBdr>
    </w:div>
    <w:div w:id="673186643">
      <w:bodyDiv w:val="1"/>
      <w:marLeft w:val="0"/>
      <w:marRight w:val="0"/>
      <w:marTop w:val="0"/>
      <w:marBottom w:val="0"/>
      <w:divBdr>
        <w:top w:val="none" w:sz="0" w:space="0" w:color="auto"/>
        <w:left w:val="none" w:sz="0" w:space="0" w:color="auto"/>
        <w:bottom w:val="none" w:sz="0" w:space="0" w:color="auto"/>
        <w:right w:val="none" w:sz="0" w:space="0" w:color="auto"/>
      </w:divBdr>
    </w:div>
    <w:div w:id="762799882">
      <w:bodyDiv w:val="1"/>
      <w:marLeft w:val="0"/>
      <w:marRight w:val="0"/>
      <w:marTop w:val="0"/>
      <w:marBottom w:val="0"/>
      <w:divBdr>
        <w:top w:val="none" w:sz="0" w:space="0" w:color="auto"/>
        <w:left w:val="none" w:sz="0" w:space="0" w:color="auto"/>
        <w:bottom w:val="none" w:sz="0" w:space="0" w:color="auto"/>
        <w:right w:val="none" w:sz="0" w:space="0" w:color="auto"/>
      </w:divBdr>
    </w:div>
    <w:div w:id="784275020">
      <w:bodyDiv w:val="1"/>
      <w:marLeft w:val="0"/>
      <w:marRight w:val="0"/>
      <w:marTop w:val="0"/>
      <w:marBottom w:val="0"/>
      <w:divBdr>
        <w:top w:val="none" w:sz="0" w:space="0" w:color="auto"/>
        <w:left w:val="none" w:sz="0" w:space="0" w:color="auto"/>
        <w:bottom w:val="none" w:sz="0" w:space="0" w:color="auto"/>
        <w:right w:val="none" w:sz="0" w:space="0" w:color="auto"/>
      </w:divBdr>
    </w:div>
    <w:div w:id="843787432">
      <w:bodyDiv w:val="1"/>
      <w:marLeft w:val="0"/>
      <w:marRight w:val="0"/>
      <w:marTop w:val="0"/>
      <w:marBottom w:val="0"/>
      <w:divBdr>
        <w:top w:val="none" w:sz="0" w:space="0" w:color="auto"/>
        <w:left w:val="none" w:sz="0" w:space="0" w:color="auto"/>
        <w:bottom w:val="none" w:sz="0" w:space="0" w:color="auto"/>
        <w:right w:val="none" w:sz="0" w:space="0" w:color="auto"/>
      </w:divBdr>
    </w:div>
    <w:div w:id="1132408301">
      <w:bodyDiv w:val="1"/>
      <w:marLeft w:val="0"/>
      <w:marRight w:val="0"/>
      <w:marTop w:val="0"/>
      <w:marBottom w:val="0"/>
      <w:divBdr>
        <w:top w:val="none" w:sz="0" w:space="0" w:color="auto"/>
        <w:left w:val="none" w:sz="0" w:space="0" w:color="auto"/>
        <w:bottom w:val="none" w:sz="0" w:space="0" w:color="auto"/>
        <w:right w:val="none" w:sz="0" w:space="0" w:color="auto"/>
      </w:divBdr>
    </w:div>
    <w:div w:id="1141461054">
      <w:bodyDiv w:val="1"/>
      <w:marLeft w:val="0"/>
      <w:marRight w:val="0"/>
      <w:marTop w:val="0"/>
      <w:marBottom w:val="0"/>
      <w:divBdr>
        <w:top w:val="none" w:sz="0" w:space="0" w:color="auto"/>
        <w:left w:val="none" w:sz="0" w:space="0" w:color="auto"/>
        <w:bottom w:val="none" w:sz="0" w:space="0" w:color="auto"/>
        <w:right w:val="none" w:sz="0" w:space="0" w:color="auto"/>
      </w:divBdr>
    </w:div>
    <w:div w:id="1326475677">
      <w:bodyDiv w:val="1"/>
      <w:marLeft w:val="0"/>
      <w:marRight w:val="0"/>
      <w:marTop w:val="0"/>
      <w:marBottom w:val="0"/>
      <w:divBdr>
        <w:top w:val="none" w:sz="0" w:space="0" w:color="auto"/>
        <w:left w:val="none" w:sz="0" w:space="0" w:color="auto"/>
        <w:bottom w:val="none" w:sz="0" w:space="0" w:color="auto"/>
        <w:right w:val="none" w:sz="0" w:space="0" w:color="auto"/>
      </w:divBdr>
    </w:div>
    <w:div w:id="1383283688">
      <w:bodyDiv w:val="1"/>
      <w:marLeft w:val="0"/>
      <w:marRight w:val="0"/>
      <w:marTop w:val="0"/>
      <w:marBottom w:val="0"/>
      <w:divBdr>
        <w:top w:val="none" w:sz="0" w:space="0" w:color="auto"/>
        <w:left w:val="none" w:sz="0" w:space="0" w:color="auto"/>
        <w:bottom w:val="none" w:sz="0" w:space="0" w:color="auto"/>
        <w:right w:val="none" w:sz="0" w:space="0" w:color="auto"/>
      </w:divBdr>
    </w:div>
    <w:div w:id="1407267131">
      <w:bodyDiv w:val="1"/>
      <w:marLeft w:val="0"/>
      <w:marRight w:val="0"/>
      <w:marTop w:val="0"/>
      <w:marBottom w:val="0"/>
      <w:divBdr>
        <w:top w:val="none" w:sz="0" w:space="0" w:color="auto"/>
        <w:left w:val="none" w:sz="0" w:space="0" w:color="auto"/>
        <w:bottom w:val="none" w:sz="0" w:space="0" w:color="auto"/>
        <w:right w:val="none" w:sz="0" w:space="0" w:color="auto"/>
      </w:divBdr>
    </w:div>
    <w:div w:id="1433433096">
      <w:bodyDiv w:val="1"/>
      <w:marLeft w:val="0"/>
      <w:marRight w:val="0"/>
      <w:marTop w:val="0"/>
      <w:marBottom w:val="0"/>
      <w:divBdr>
        <w:top w:val="none" w:sz="0" w:space="0" w:color="auto"/>
        <w:left w:val="none" w:sz="0" w:space="0" w:color="auto"/>
        <w:bottom w:val="none" w:sz="0" w:space="0" w:color="auto"/>
        <w:right w:val="none" w:sz="0" w:space="0" w:color="auto"/>
      </w:divBdr>
    </w:div>
    <w:div w:id="1448891743">
      <w:bodyDiv w:val="1"/>
      <w:marLeft w:val="0"/>
      <w:marRight w:val="0"/>
      <w:marTop w:val="0"/>
      <w:marBottom w:val="0"/>
      <w:divBdr>
        <w:top w:val="none" w:sz="0" w:space="0" w:color="auto"/>
        <w:left w:val="none" w:sz="0" w:space="0" w:color="auto"/>
        <w:bottom w:val="none" w:sz="0" w:space="0" w:color="auto"/>
        <w:right w:val="none" w:sz="0" w:space="0" w:color="auto"/>
      </w:divBdr>
    </w:div>
    <w:div w:id="1747679661">
      <w:bodyDiv w:val="1"/>
      <w:marLeft w:val="0"/>
      <w:marRight w:val="0"/>
      <w:marTop w:val="0"/>
      <w:marBottom w:val="0"/>
      <w:divBdr>
        <w:top w:val="none" w:sz="0" w:space="0" w:color="auto"/>
        <w:left w:val="none" w:sz="0" w:space="0" w:color="auto"/>
        <w:bottom w:val="none" w:sz="0" w:space="0" w:color="auto"/>
        <w:right w:val="none" w:sz="0" w:space="0" w:color="auto"/>
      </w:divBdr>
    </w:div>
    <w:div w:id="1752853172">
      <w:bodyDiv w:val="1"/>
      <w:marLeft w:val="0"/>
      <w:marRight w:val="0"/>
      <w:marTop w:val="0"/>
      <w:marBottom w:val="0"/>
      <w:divBdr>
        <w:top w:val="none" w:sz="0" w:space="0" w:color="auto"/>
        <w:left w:val="none" w:sz="0" w:space="0" w:color="auto"/>
        <w:bottom w:val="none" w:sz="0" w:space="0" w:color="auto"/>
        <w:right w:val="none" w:sz="0" w:space="0" w:color="auto"/>
      </w:divBdr>
    </w:div>
    <w:div w:id="1996254870">
      <w:bodyDiv w:val="1"/>
      <w:marLeft w:val="0"/>
      <w:marRight w:val="0"/>
      <w:marTop w:val="0"/>
      <w:marBottom w:val="0"/>
      <w:divBdr>
        <w:top w:val="none" w:sz="0" w:space="0" w:color="auto"/>
        <w:left w:val="none" w:sz="0" w:space="0" w:color="auto"/>
        <w:bottom w:val="none" w:sz="0" w:space="0" w:color="auto"/>
        <w:right w:val="none" w:sz="0" w:space="0" w:color="auto"/>
      </w:divBdr>
    </w:div>
    <w:div w:id="2003316380">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 w:id="2065371786">
      <w:bodyDiv w:val="1"/>
      <w:marLeft w:val="0"/>
      <w:marRight w:val="0"/>
      <w:marTop w:val="0"/>
      <w:marBottom w:val="0"/>
      <w:divBdr>
        <w:top w:val="none" w:sz="0" w:space="0" w:color="auto"/>
        <w:left w:val="none" w:sz="0" w:space="0" w:color="auto"/>
        <w:bottom w:val="none" w:sz="0" w:space="0" w:color="auto"/>
        <w:right w:val="none" w:sz="0" w:space="0" w:color="auto"/>
      </w:divBdr>
    </w:div>
    <w:div w:id="207893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771B5-177D-4675-9777-BDEC37EF3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Template>
  <TotalTime>836</TotalTime>
  <Pages>26</Pages>
  <Words>9484</Words>
  <Characters>54065</Characters>
  <Application>Microsoft Office Word</Application>
  <DocSecurity>0</DocSecurity>
  <Lines>450</Lines>
  <Paragraphs>126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THỦ TƯỚNG CHÍNH PHỦ</vt:lpstr>
      <vt:lpstr>THỦ TƯỚNG CHÍNH PHỦ</vt:lpstr>
    </vt:vector>
  </TitlesOfParts>
  <Company>HOME</Company>
  <LinksUpToDate>false</LinksUpToDate>
  <CharactersWithSpaces>63423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subject/>
  <dc:creator>msLe</dc:creator>
  <cp:keywords/>
  <dc:description/>
  <cp:lastModifiedBy>hp</cp:lastModifiedBy>
  <cp:revision>71</cp:revision>
  <cp:lastPrinted>2011-03-04T07:20:00Z</cp:lastPrinted>
  <dcterms:created xsi:type="dcterms:W3CDTF">2026-03-23T05:40:00Z</dcterms:created>
  <dcterms:modified xsi:type="dcterms:W3CDTF">2026-07-20T03:54:00Z</dcterms:modified>
</cp:coreProperties>
</file>